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56F37" w14:textId="77777777" w:rsidR="006A6472" w:rsidRDefault="00B020E2">
      <w:pPr>
        <w:spacing w:line="480" w:lineRule="auto"/>
        <w:rPr>
          <w:b/>
        </w:rPr>
      </w:pPr>
      <w:r w:rsidRPr="008A2E1D">
        <w:rPr>
          <w:b/>
        </w:rPr>
        <w:t>ΓΕΝΙΚΗ ΕΠΙΤΡΟΠΕΙΑ ΕΠΙΚΡΑΤΕΙΑΣ</w:t>
      </w:r>
    </w:p>
    <w:p w14:paraId="03E8510C" w14:textId="77777777" w:rsidR="006A6472" w:rsidRDefault="00B020E2">
      <w:pPr>
        <w:spacing w:line="480" w:lineRule="auto"/>
        <w:rPr>
          <w:b/>
        </w:rPr>
      </w:pPr>
      <w:r w:rsidRPr="008A2E1D">
        <w:rPr>
          <w:b/>
        </w:rPr>
        <w:t>ΤΟΥ ΕΛΕΓΚΤΙΚΟΥ ΣΥΝΕΔΡΙΟΥ</w:t>
      </w:r>
    </w:p>
    <w:p w14:paraId="0279F874" w14:textId="77777777" w:rsidR="006A6472" w:rsidRDefault="006A6472">
      <w:pPr>
        <w:spacing w:line="480" w:lineRule="auto"/>
        <w:rPr>
          <w:b/>
        </w:rPr>
      </w:pPr>
    </w:p>
    <w:p w14:paraId="1C3D2B5F" w14:textId="77777777" w:rsidR="006A6472" w:rsidRDefault="006A6472">
      <w:pPr>
        <w:spacing w:line="480" w:lineRule="auto"/>
        <w:rPr>
          <w:b/>
        </w:rPr>
      </w:pPr>
    </w:p>
    <w:p w14:paraId="71B59BF3" w14:textId="77777777" w:rsidR="006A6472" w:rsidRDefault="006A6472">
      <w:pPr>
        <w:pStyle w:val="13pt"/>
        <w:jc w:val="center"/>
        <w:rPr>
          <w:b/>
          <w:sz w:val="24"/>
          <w:szCs w:val="24"/>
        </w:rPr>
      </w:pPr>
    </w:p>
    <w:p w14:paraId="5F2CB236" w14:textId="77777777" w:rsidR="006A6472" w:rsidRDefault="00B020E2">
      <w:pPr>
        <w:pStyle w:val="13pt"/>
        <w:jc w:val="center"/>
        <w:rPr>
          <w:b/>
          <w:sz w:val="24"/>
          <w:szCs w:val="24"/>
        </w:rPr>
      </w:pPr>
      <w:r w:rsidRPr="00EE1493">
        <w:rPr>
          <w:b/>
          <w:sz w:val="24"/>
          <w:szCs w:val="24"/>
        </w:rPr>
        <w:t>Ενώπιον</w:t>
      </w:r>
    </w:p>
    <w:p w14:paraId="50BDA20D" w14:textId="77777777" w:rsidR="006A6472" w:rsidRDefault="00B020E2">
      <w:pPr>
        <w:pStyle w:val="13pt"/>
        <w:jc w:val="center"/>
        <w:rPr>
          <w:sz w:val="24"/>
          <w:szCs w:val="24"/>
        </w:rPr>
      </w:pPr>
      <w:r w:rsidRPr="00EE1493">
        <w:rPr>
          <w:sz w:val="24"/>
          <w:szCs w:val="24"/>
        </w:rPr>
        <w:t xml:space="preserve">του </w:t>
      </w:r>
      <w:r w:rsidRPr="00EE1493">
        <w:rPr>
          <w:sz w:val="24"/>
          <w:szCs w:val="24"/>
          <w:lang w:val="en-US"/>
        </w:rPr>
        <w:t>*****</w:t>
      </w:r>
      <w:r w:rsidRPr="00EE1493">
        <w:rPr>
          <w:sz w:val="24"/>
          <w:szCs w:val="24"/>
        </w:rPr>
        <w:t xml:space="preserve"> Τμήματος του *****</w:t>
      </w:r>
    </w:p>
    <w:p w14:paraId="15FE9DCC" w14:textId="77777777" w:rsidR="006A6472" w:rsidRDefault="00B020E2">
      <w:pPr>
        <w:pStyle w:val="13pt"/>
        <w:jc w:val="center"/>
        <w:rPr>
          <w:b/>
          <w:sz w:val="24"/>
          <w:szCs w:val="24"/>
        </w:rPr>
      </w:pPr>
      <w:r w:rsidRPr="00EE1493">
        <w:rPr>
          <w:b/>
          <w:sz w:val="24"/>
          <w:szCs w:val="24"/>
        </w:rPr>
        <w:t>Αίτηση</w:t>
      </w:r>
    </w:p>
    <w:p w14:paraId="63F8631D" w14:textId="77777777" w:rsidR="006A6472" w:rsidRDefault="00B020E2">
      <w:pPr>
        <w:pStyle w:val="13pt"/>
        <w:jc w:val="center"/>
        <w:rPr>
          <w:sz w:val="24"/>
          <w:szCs w:val="24"/>
        </w:rPr>
      </w:pPr>
      <w:r w:rsidRPr="00EE1493">
        <w:rPr>
          <w:sz w:val="24"/>
          <w:szCs w:val="24"/>
        </w:rPr>
        <w:t>του Γενικού Επιτρόπου Επικρατείας του *****</w:t>
      </w:r>
    </w:p>
    <w:p w14:paraId="4AFF3EBA" w14:textId="77777777" w:rsidR="006A6472" w:rsidRDefault="00B020E2">
      <w:pPr>
        <w:pStyle w:val="13pt"/>
        <w:jc w:val="center"/>
        <w:rPr>
          <w:b/>
          <w:sz w:val="24"/>
          <w:szCs w:val="24"/>
        </w:rPr>
      </w:pPr>
      <w:r w:rsidRPr="00EE1493">
        <w:rPr>
          <w:b/>
          <w:sz w:val="24"/>
          <w:szCs w:val="24"/>
        </w:rPr>
        <w:t>Περί</w:t>
      </w:r>
    </w:p>
    <w:p w14:paraId="3D1654B1" w14:textId="77777777" w:rsidR="006A6472" w:rsidRDefault="00B020E2">
      <w:pPr>
        <w:pStyle w:val="13pt"/>
        <w:ind w:firstLine="720"/>
        <w:rPr>
          <w:sz w:val="24"/>
          <w:szCs w:val="24"/>
        </w:rPr>
      </w:pPr>
      <w:r w:rsidRPr="00EE1493">
        <w:rPr>
          <w:sz w:val="24"/>
          <w:szCs w:val="24"/>
        </w:rPr>
        <w:t xml:space="preserve">Καταλογισμού του ***** του *****, πρώην </w:t>
      </w:r>
      <w:r>
        <w:rPr>
          <w:sz w:val="24"/>
          <w:szCs w:val="24"/>
        </w:rPr>
        <w:t xml:space="preserve">Υπουργού και </w:t>
      </w:r>
      <w:r w:rsidRPr="00EE1493">
        <w:rPr>
          <w:sz w:val="24"/>
          <w:szCs w:val="24"/>
        </w:rPr>
        <w:t>*****, κατοίκου Αθηνών  *****, *****.</w:t>
      </w:r>
    </w:p>
    <w:p w14:paraId="1CBBCC17" w14:textId="77777777" w:rsidR="006A6472" w:rsidRDefault="006A6472">
      <w:pPr>
        <w:spacing w:line="480" w:lineRule="auto"/>
        <w:jc w:val="center"/>
      </w:pPr>
    </w:p>
    <w:p w14:paraId="6B915443" w14:textId="77777777" w:rsidR="006A6472" w:rsidRDefault="00B020E2">
      <w:pPr>
        <w:spacing w:line="480" w:lineRule="auto"/>
        <w:ind w:firstLine="720"/>
        <w:jc w:val="both"/>
      </w:pPr>
      <w:r>
        <w:rPr>
          <w:b/>
        </w:rPr>
        <w:t xml:space="preserve">Ι. </w:t>
      </w:r>
      <w:r w:rsidRPr="008A2E1D">
        <w:t>Με τις διατάξεις των άρθρων 6 έως 12 του ν. 1738/1987 (ΦΕΚ Α΄ 200),</w:t>
      </w:r>
      <w:r w:rsidRPr="008A2E1D">
        <w:t xml:space="preserve"> </w:t>
      </w:r>
      <w:r w:rsidRPr="008A2E1D">
        <w:t>όπως</w:t>
      </w:r>
      <w:r w:rsidRPr="008A2E1D">
        <w:t xml:space="preserve"> </w:t>
      </w:r>
      <w:r w:rsidRPr="008A2E1D">
        <w:t xml:space="preserve">αντικαταστάθηκαν από τις αντίστοιχου περιεχομένου διατάξεις των άρθρων </w:t>
      </w:r>
      <w:r>
        <w:t xml:space="preserve">19, </w:t>
      </w:r>
      <w:r w:rsidRPr="008A2E1D">
        <w:t>24, 25 και 26 του ν. 2429/1996 (ΦΕΚ Α΄ 155), θεσπίστηκε η υποχρέωση υποβολής ετήσιας δήλωσης περιουσιακής κατάστασης από</w:t>
      </w:r>
      <w:r w:rsidRPr="008A2E1D">
        <w:t xml:space="preserve"> </w:t>
      </w:r>
      <w:r w:rsidRPr="008A2E1D">
        <w:t>κατηγορίες κρατικών λειτουργών, δημοσίων υπαλλήλων και λοιπών υπόχρεων προς τούτο προσώπων, ιδρύθηκαν δε όργανα ελέγχου και επαλήθευσης των δηλώσεων αυτών. Ειδικότερα,</w:t>
      </w:r>
      <w:r w:rsidRPr="008A2E1D">
        <w:t xml:space="preserve"> </w:t>
      </w:r>
      <w:r w:rsidRPr="008A2E1D">
        <w:t>ο έλεγχος των δηλώσεων των προσώπων που αναφέρονται στις περιπτώσεις α΄ έως</w:t>
      </w:r>
      <w:r w:rsidRPr="008A2E1D">
        <w:t xml:space="preserve"> και ε΄ της *****. 1 του άρθρου 24 του ν. 2429/1996</w:t>
      </w:r>
      <w:r w:rsidRPr="008A2E1D">
        <w:t xml:space="preserve"> </w:t>
      </w:r>
      <w:r w:rsidRPr="008A2E1D">
        <w:t>(πρωθυπουργού, αρχηγών πολιτικών κομμάτων, υπουργών, αναπληρωτών υπουργών, υφυπουργών, βουλευτών, ευρωβουλευτών και των προσώπων που είναι υπεύθυνα για τη διαχείριση των οικονομικών των πολιτικών κομμάτων) διενεργείται από την ***** του άρθρου 19 του νόμου αυτού ( άρθρο 26 *****.1</w:t>
      </w:r>
      <w:r w:rsidRPr="008A2E1D">
        <w:t xml:space="preserve"> </w:t>
      </w:r>
      <w:r w:rsidRPr="008A2E1D">
        <w:t>ν.2429/1996)</w:t>
      </w:r>
      <w:r>
        <w:t>, ο έλεγχος ούτος ως εικός</w:t>
      </w:r>
      <w:r w:rsidRPr="008A2E1D">
        <w:t>,</w:t>
      </w:r>
      <w:r>
        <w:t xml:space="preserve"> αφορά το σύνολο του αποδεικτικού υλικού κάθε κρινόμενης υπόθεσης.</w:t>
      </w:r>
      <w:r w:rsidRPr="008A2E1D">
        <w:t xml:space="preserve"> </w:t>
      </w:r>
      <w:r>
        <w:t>Σ</w:t>
      </w:r>
      <w:r w:rsidRPr="008A2E1D">
        <w:t>ύμφωνα με τις διατάξεις της *****. 2 του άρθρου 24 του ίδιου νόμου, όπω</w:t>
      </w:r>
      <w:r w:rsidRPr="008A2E1D">
        <w:t xml:space="preserve">ς αυτή ίσχυε πριν την αντικατάστασή της με τις διατάξεις του άρθρου 13 του ν. 2836/2000, «η δήλωση υποβάλλεται μέσα σε τριάντα (30) ημέρες από την </w:t>
      </w:r>
      <w:r w:rsidRPr="008A2E1D">
        <w:lastRenderedPageBreak/>
        <w:t>ορκομωσία ή την ανάληψη καθηκόντων των κατά την *****άγραφο 1 υποχρέων και επαναλαμβάνεται τον Απρίλιο κάθε έτους εφόσον διατηρούν την ιδιότητα αυτή και επί τρία (3) έτη μετά την απώλειά της». Περαιτέρω, ο ίδιος νόμος (2429/1996), ορίζει, στο άρθρο 26 *****. 6, ότι μετά το πέρας του ελέγχου της δήλωσης περιουσιακής κατάστασης συντάσσεται από την Επιτροπή του άρθρ</w:t>
      </w:r>
      <w:r w:rsidRPr="008A2E1D">
        <w:t>ου 19 του</w:t>
      </w:r>
      <w:r w:rsidRPr="008A2E1D">
        <w:t xml:space="preserve"> </w:t>
      </w:r>
      <w:r w:rsidRPr="008A2E1D">
        <w:t>νόμου αυτού πόρισμα και ότι «αν συντρέχει περίπτωση καταλογισμού κατά την *****. 1 του άρθρου 29, το πόρισμα αποστέλλεται στο Γενικό Επίτροπο της Επικρατείας στο *****. Αν ανακύπτει περίπτωση ποινικής ευθύνης το πόρισμα αποστέλλεται στο αρμόδιο για την άσκηση ποινικής δίωξης όργανο» και στο άρθρο 29, ότι: «1. Καταλογίζεται σε βάρος του ελεγχομένου χρηματικό ποσό ισάξιο με το περιουσιακό όφελος, το οποίο απέκτησε ο ίδιος, ο σύζυγός του ή ανήλικο τέκνο του και του οποίου η προέλευση δεν δικαιολογείτ</w:t>
      </w:r>
      <w:r w:rsidRPr="008A2E1D">
        <w:t>αι. 2. Σε περίπτωση ποινικής καταδίκης κατά την *****. 1 του άρθρου 27 καταλογίζεται σε βάρος του καταδικασθέντος χρηματικό ποσό ίσο με το περιουσιακό όφελος που αποκόμισε, εφόσον αυτό δεν υπόκειται σε δήμευση κατά την *****άγραφο 2 του ίδιου άρθρου. 3. Ο καταλογισμός ο οποίος προβλέπεται από τις *****αγράφους 1 και 2 γίνεται υπέρ του ***** από το αρμόδιο Τμήμα του *****, σύμφωνα με τις ισχύουσες διατάξεις».</w:t>
      </w:r>
      <w:r w:rsidRPr="008A2E1D">
        <w:t xml:space="preserve"> </w:t>
      </w:r>
      <w:r w:rsidRPr="008A2E1D">
        <w:t xml:space="preserve">Με τις προαναφερόμενες διατάξεις ο νομοθέτης, επιδιώκοντας τον περιορισμό της διαφθοράς στο δημόσιο </w:t>
      </w:r>
      <w:r w:rsidRPr="008A2E1D">
        <w:t>εν γένει βίο και την πάταξη των αθέμιτων επί ζημία του ***** συναλλαγών από κρατικούς λειτουργούς, θέσπισε και οργάνωσε μια διαδικασία ελέγχου της περιουσιακής κατάστασης των προσώπων αυτών, τα οποία, στο πλαίσιο της κατοχής κρίσιμων θέσεων στον κρατικό μηχανισμό, δύνανται, επωφελούμενοι της ιδιότητάς τους ή εκμεταλλευόμενοι ή καταχρώμενοι με οποιονδήποτε τρόπο την ιδιότητά τους, να προσπορίσουν στον εαυτό τους ή σε στενούς συγγενείς τους (</w:t>
      </w:r>
      <w:r>
        <w:t>συζύγους</w:t>
      </w:r>
      <w:r w:rsidRPr="008A2E1D">
        <w:t xml:space="preserve"> και ανήλικα τέκνα) αθέμιτο περιουσιακό όφελος.</w:t>
      </w:r>
      <w:r w:rsidRPr="008A2E1D">
        <w:t xml:space="preserve"> </w:t>
      </w:r>
      <w:r w:rsidRPr="008A2E1D">
        <w:t xml:space="preserve">Για το λόγο </w:t>
      </w:r>
      <w:r w:rsidRPr="008A2E1D">
        <w:t>αυτό</w:t>
      </w:r>
      <w:r w:rsidRPr="008A2E1D">
        <w:t xml:space="preserve"> </w:t>
      </w:r>
      <w:r w:rsidRPr="008A2E1D">
        <w:t>επέβαλε</w:t>
      </w:r>
      <w:r w:rsidRPr="008A2E1D">
        <w:t xml:space="preserve"> </w:t>
      </w:r>
      <w:r w:rsidRPr="008A2E1D">
        <w:t xml:space="preserve">στις ως άνω κατηγορίες προσώπων την υποχρέωση υποβολής ετήσιας δήλωσης </w:t>
      </w:r>
      <w:r w:rsidRPr="008A2E1D">
        <w:t xml:space="preserve">περί των </w:t>
      </w:r>
      <w:r w:rsidRPr="008A2E1D">
        <w:t>κινητών και ακίνητων περιουσιακών τους στοιχείων και επί τριετίαν μετά την αποβολή της ως άνω ιδιότητας και, περαιτέρω, θέσπισε όργανα ελέγχου και επαλήθευσης των δηλώσεων αυτών. Σε περίπτωση που κατά τον έλεγχο διαπιστωθεί ότι</w:t>
      </w:r>
      <w:r w:rsidRPr="008A2E1D">
        <w:t xml:space="preserve"> </w:t>
      </w:r>
      <w:r w:rsidRPr="008A2E1D">
        <w:t xml:space="preserve">η προέλευση περιουσιακών στοιχείων, που αποκτήθηκαν από τον </w:t>
      </w:r>
      <w:r w:rsidRPr="008A2E1D">
        <w:lastRenderedPageBreak/>
        <w:t>ελεγχόμενο ή τα μέλη της οικογένειάς του (σύζυγο και ανήλικα τέκνα) κατά τη διάρκεια της υπηρεσίας του ή και εντός τριετίας μετά τη</w:t>
      </w:r>
      <w:r w:rsidRPr="008A2E1D">
        <w:t xml:space="preserve"> λήξη της, δεν δύναται να δικαιολογηθεί, προβλέπονται σε βάρος του τελευταίου ποινικές και χρηματικές κυρώσεις. Οι χρηματικές κυρώσεις συνίστανται στον καταλογισμό του ελεγχομένου με χρηματικό ποσό ισάξιο του περιουσιακού οφέλους</w:t>
      </w:r>
      <w:r>
        <w:t xml:space="preserve"> υπέρ του *****</w:t>
      </w:r>
      <w:r w:rsidRPr="008A2E1D">
        <w:t xml:space="preserve">, του οποίου δεν δικαιολογείται η νόμιμη προέλευση. </w:t>
      </w:r>
      <w:r w:rsidRPr="008A2E1D">
        <w:t>Το «περιουσιακό όφελος» είναι μια ευρύτατη έννοια που καταλαμβάνει κάθε κινητό ή ακίνητο περιουσιακό στοιχείο που μπορεί να αποτιμηθεί σε χρήμα ή οικονομική αξία.</w:t>
      </w:r>
      <w:r w:rsidRPr="008A2E1D">
        <w:t xml:space="preserve"> </w:t>
      </w:r>
      <w:r w:rsidRPr="008A2E1D">
        <w:t>Έτσι, περιλαμβάνει ρευστό χρήμα ή κινητές αξίες, επιταγές, συναλλαγματικές, μετοχές, ομόλογα, έντοκα και μη γραμμάτια του ***** και γενικά κάθε μορφής αξιόγραφα και καταθέσεις σε λογαριασμούς πάσης φύσεως.</w:t>
      </w:r>
      <w:r w:rsidRPr="008A2E1D">
        <w:t xml:space="preserve"> </w:t>
      </w:r>
      <w:r w:rsidRPr="008A2E1D">
        <w:t>Περιλαμβάνει επιπλέον κάθε άλλη *****οχή με οικονομική σημασία (π.χ. εγγύηση για τη λήψη δανείου).</w:t>
      </w:r>
      <w:r w:rsidRPr="008A2E1D">
        <w:t xml:space="preserve"> </w:t>
      </w:r>
      <w:r w:rsidRPr="008A2E1D">
        <w:t>Αθέμιτο δε περιουσιακό όφελος είναι το μη νό</w:t>
      </w:r>
      <w:r w:rsidRPr="008A2E1D">
        <w:t>μιμο όφελος, το όφελος δηλαδή που προέρχεται από μη νόμιμη αιτία καθώς και αυτό που δεν μπορεί να δικαιολογηθεί ως προερχόμενο από νόμιμη αιτία ή νόμιμη πηγή.</w:t>
      </w:r>
      <w:r w:rsidRPr="008A2E1D">
        <w:t xml:space="preserve"> </w:t>
      </w:r>
      <w:r w:rsidRPr="008A2E1D">
        <w:t>Το χρηματικό ποσό που κατατίθεται σε τραπεζικό λογαριασμό βουλευτού, έστω και αν είναι κοινός με άλλα πρόσωπα που δεν έχουν τη βουλευτική ιδιότητα, από έναν επιχειρηματία</w:t>
      </w:r>
      <w:r>
        <w:t xml:space="preserve"> ή Ν.Π.Ι.Δ.</w:t>
      </w:r>
      <w:r w:rsidRPr="008A2E1D">
        <w:t>, όταν μάλιστα είναι ιδιαίτατα υψηλό, που δεν μπορεί να δικαιολογηθεί ως αμοιβή ή απολαβές κάθε μορφής</w:t>
      </w:r>
      <w:r>
        <w:t xml:space="preserve"> ή χρηματοδότηση (αρθρ. 7 *****. 1 και 8 *****. 2 ν. 2429/96)</w:t>
      </w:r>
      <w:r w:rsidRPr="008A2E1D">
        <w:t>, ανεξάρτ</w:t>
      </w:r>
      <w:r w:rsidRPr="008A2E1D">
        <w:t xml:space="preserve">ητα από τον χαρακτηρισμό του τραπεζικού λογαριασμού ως ενδιάμεσου ή μη, ως όψεως ή μη, εφόσον ανήκει στον </w:t>
      </w:r>
      <w:r>
        <w:t>*****- *****</w:t>
      </w:r>
      <w:r w:rsidRPr="008A2E1D">
        <w:t xml:space="preserve"> και κατατίθεται σε αυτόν υπερβολικά υψηλό ποσό χρημάτων από συγκεκριμένο επιχειρηματία</w:t>
      </w:r>
      <w:r>
        <w:t xml:space="preserve"> ή Ν.Π.Ι.Δ.</w:t>
      </w:r>
      <w:r w:rsidRPr="008A2E1D">
        <w:t xml:space="preserve">, τα οποία (χρήματα) ο βουλευτής δεν μπορεί να δικαιολογήσει καθ’ οιονδήποτε τρόπο, τούτο δε αποκαλύπτεται από σχετική έρευνα που διενήργησε η αρμοδία προς τούτο Κοινοβουλευτική Επιτροπή της Βουλής των Ελλήνων, είναι εξαιρετικά δυσχερές </w:t>
      </w:r>
      <w:r w:rsidRPr="008A2E1D">
        <w:t xml:space="preserve">στον λαβόντα </w:t>
      </w:r>
      <w:r w:rsidRPr="008A2E1D">
        <w:t>να ισχυριστεί ότι δεν διέπραξε το αδίκημα κατά</w:t>
      </w:r>
      <w:r w:rsidRPr="008A2E1D">
        <w:t xml:space="preserve"> τις πιο πάνω διατάξεις, οι οποίες επιβάλλουν τον καταλογισμό του για το </w:t>
      </w:r>
      <w:r>
        <w:t xml:space="preserve">αδικαιολόγητο </w:t>
      </w:r>
      <w:r w:rsidRPr="008A2E1D">
        <w:t xml:space="preserve">περιουσιακό όφελος που απέκτησε κατά τα ανωτέρω, αφής στιγμής το συγκεκριμένο ποσό κατατέθηκε στον τραπεζικό λογαριασμό του </w:t>
      </w:r>
      <w:r>
        <w:t xml:space="preserve">ή σε λογαριασμό κοινό και ούτος ομολογεί ότι </w:t>
      </w:r>
      <w:r w:rsidRPr="008A2E1D">
        <w:t>κατέστη κύριος αυτού</w:t>
      </w:r>
      <w:r>
        <w:t xml:space="preserve">. Ο ισχυρισμός αυτού ότι τα έλαβε νομίμως ως προεκλογική χορηγία αφενός δεν είναι νόμω βάσιμος, *****ότι λόγω ύψους ποσού, </w:t>
      </w:r>
      <w:r>
        <w:t xml:space="preserve">συνολικά 440.000 μάρκα Γερμανίας, </w:t>
      </w:r>
      <w:r>
        <w:t>περίπου 200.000 € δεν το επιτρέπει ο ν. 2429/96 δεδομένου ότι ο νόμος αυτός επι</w:t>
      </w:r>
      <w:r>
        <w:t xml:space="preserve">τρέπει να χορηγούνται από έναν επιχειρηματία στον οποιοδήποτε *****ή ***** ορισμένα ποσά αλλά εντελώς χαμηλά (βλ. διατάξεις </w:t>
      </w:r>
      <w:r>
        <w:t>αρθρ. 8 *****. 2 ν. 2429/96</w:t>
      </w:r>
      <w:r>
        <w:t xml:space="preserve">) τα οποία όμως καίτοι χαμηλά ορθώς θα έπραττεν ο νομοθέτης </w:t>
      </w:r>
      <w:r>
        <w:t xml:space="preserve">αν </w:t>
      </w:r>
      <w:r>
        <w:t xml:space="preserve">και αυτά </w:t>
      </w:r>
      <w:r>
        <w:t>τα χαμηλά ποσά χορηγιών τα απαγό</w:t>
      </w:r>
      <w:r>
        <w:t>ρε</w:t>
      </w:r>
      <w:r>
        <w:t>υ</w:t>
      </w:r>
      <w:r>
        <w:t>ε πλήρως, ανεξάρτητα αν αφορούν προεκλογική περίοδο ή μη, γιατί οδηγούν ευκολότερ</w:t>
      </w:r>
      <w:r>
        <w:t>α</w:t>
      </w:r>
      <w:r>
        <w:t xml:space="preserve"> </w:t>
      </w:r>
      <w:r>
        <w:t>στην δωροδοκία – δωροληψία και στη διαφθορά του πολιτικού και της πολιτικής ζωής γενικότερα. Ενόψει μάλιστα του γεγονότος ότι τα πολιτικά κόμματα της Βουλής χρηματοδοτούντ</w:t>
      </w:r>
      <w:r>
        <w:t xml:space="preserve">αι πλουσιοπάροχα από τον δεινώς δοκιμαζόμενο, φορολογούμενο Έλληνα πολίτη. </w:t>
      </w:r>
    </w:p>
    <w:p w14:paraId="415A7A3D" w14:textId="77777777" w:rsidR="006A6472" w:rsidRDefault="00B020E2">
      <w:pPr>
        <w:spacing w:line="480" w:lineRule="auto"/>
        <w:ind w:firstLine="720"/>
        <w:jc w:val="both"/>
      </w:pPr>
      <w:r w:rsidRPr="00922362">
        <w:rPr>
          <w:b/>
        </w:rPr>
        <w:t>ΙΙ.</w:t>
      </w:r>
      <w:r>
        <w:t xml:space="preserve"> </w:t>
      </w:r>
      <w:r>
        <w:t>Στην κρινόμενη υπόθεση</w:t>
      </w:r>
      <w:r>
        <w:t xml:space="preserve"> με το αριθ. πρωτ. 2106/11 Ιουνίου 2010 έγγραφο της Βουλής των Ελλήνων διαβιβάστηκε στον Γενικό Επίτροπο Επικρατείας του ***** η από 8 Ιουνίου 2010 έκθεση της Επιτροπής Ελέγχου των οικονομικών των πολιτικών κομμάτων και συνασπισμών και υποψηφίων Βουλευτών, σύμφωνα με τις διατάξεις του άρθρου 29 του ν. 2429/96 που ίσχυε κατά τους κρίσιμους χρόνους, η οποία συγκροτήθηκε με την αριθ. 12248/8807/29-10-2009 απόφαση του Προέδρου της Βουλής, όπως τροποποιήθηκε με την υπ’ αριθ. 13331/9529/11-</w:t>
      </w:r>
      <w:r>
        <w:t>11-2009 απόφασή του, προκειμένου να εξετάσει την υπ’ αριθ. πρωτ. 100/27-5-2010 επιστολή της εξεταστικής Επιτροπής της Βουλής «για τη διερεύνηση της υπόθεσης ‘</w:t>
      </w:r>
      <w:r>
        <w:rPr>
          <w:lang w:val="en-US"/>
        </w:rPr>
        <w:t>*****</w:t>
      </w:r>
      <w:r w:rsidRPr="001D26F7">
        <w:t>’</w:t>
      </w:r>
      <w:r>
        <w:t xml:space="preserve"> </w:t>
      </w:r>
      <w:r>
        <w:t>στο σύνολό της», με την οποία ζητείται ο επανέλεγχος όλων των δηλώσεων περιουσιακής κατάστασης του *****, υπό το πρίσμα των νέων δεδομένων που προκύπτουν από τα πρακτικά της συνεδρίασης της εξεταστικής Επιτροπής της 26</w:t>
      </w:r>
      <w:r w:rsidRPr="00C157FE">
        <w:rPr>
          <w:vertAlign w:val="superscript"/>
        </w:rPr>
        <w:t>ης</w:t>
      </w:r>
      <w:r>
        <w:t xml:space="preserve"> Μαΐου 2010. Από τον διενεργηθέντα έλεγχο της Ελεγκτικής Επιτροπής της Βουλής, (αρθρ. 19 ν. 2429/96) ως αναφέρεται στην προαναφ</w:t>
      </w:r>
      <w:r>
        <w:t>ερόμενη, από 8-6-2010 έκθεσή της, η εν λόγω Επιτροπή, αφού έλαβε υπόψη:</w:t>
      </w:r>
      <w:r>
        <w:t xml:space="preserve"> «α</w:t>
      </w:r>
      <w:r>
        <w:t>) τα πρακτικά της συνεδρίασης της 26-5-2010 της Εξεταστικής Επιτροπής της Βουλής «για τη διερεύνηση της υπόθεσης ‘</w:t>
      </w:r>
      <w:r>
        <w:rPr>
          <w:lang w:val="en-US"/>
        </w:rPr>
        <w:t>*****</w:t>
      </w:r>
      <w:r w:rsidRPr="001D26F7">
        <w:t>’</w:t>
      </w:r>
      <w:r>
        <w:t xml:space="preserve"> στο σύνολό της», από τα οποία προκύπτει η ομολογία του ελεγχόμενου *****, ότι κατά τα έτη 1998 και 2000 έλαβε 200.000 και 240.000 μάρκα αντίστοιχα και β) τις υποβληθείσες από τον ελεγχόμενο δηλώσεις περιουσιακής κατάστασης των ετών 1999, 2000, 2001, 2002, 2003, 2004, 2005, 2006 και του έτους 2007, οπότε υπεβλήθη η τ</w:t>
      </w:r>
      <w:r>
        <w:t>ελευταία δήλωση περιουσιακής του κατάστασης στη Βουλή, από τις οποίες δεν προκύπτει ότι δήλωσε  τα ως άνω ποσά, κρίνει ότι συντρέχει περίπτωση εφαρμογής των διατάξεων του Ν. 2429/1996 και του Ν. 3213/2003, όπως ίσχυε και όπως σήμερα ισχύει. Κατόπιν αυτού πρέπει, κατ’ εφαρμογήν του άρθρου 3 *****. 3 και 4 του Ν. 3213/2003, όπως τροποποιήθηκε με το άρθρο 4 του Ν. 3327/2005: α) να αποσταλεί η *****ούσα έκθεση και τα σχετικά με την ως άνω ομολογία έγγραφα στον αρμόδιο Εισαγγελέα Εφετών, προκειμένου αυτός να ενε</w:t>
      </w:r>
      <w:r>
        <w:t>ργήσει τα κατά νόμον, και στον Γενικό Επίτροπο Επικρατείας στο *****, προκειμένου να γίνει ο κατά νόμον καταλογισμός, β) να ζητηθεί η άρση του τραπεζικού, χρηματιστηριακού και φορολογικού απορρήτου του ***** και γ) να προβεί, στο πλαίσιο των αρμοδιοτήτων της, σε περαιτέρω διεξοδικό έλεγχο των σχετικών του δηλώσεων περιουσιακής κατάστασης, κατόπιν και του αιτήματος της Εξεταστικής Επιτροπής της Βουλής, που διερευνά</w:t>
      </w:r>
      <w:r>
        <w:t xml:space="preserve"> την υπόθεση </w:t>
      </w:r>
      <w:r>
        <w:rPr>
          <w:lang w:val="en-US"/>
        </w:rPr>
        <w:t>*****</w:t>
      </w:r>
      <w:r w:rsidRPr="00153D6C">
        <w:t xml:space="preserve">, </w:t>
      </w:r>
      <w:r>
        <w:t>για επανέλεγχο των δηλώσεών του.»</w:t>
      </w:r>
    </w:p>
    <w:p w14:paraId="47103F37" w14:textId="77777777" w:rsidR="006A6472" w:rsidRDefault="00B020E2">
      <w:pPr>
        <w:spacing w:line="480" w:lineRule="auto"/>
        <w:ind w:firstLine="720"/>
        <w:jc w:val="both"/>
      </w:pPr>
      <w:r w:rsidRPr="00922362">
        <w:rPr>
          <w:b/>
        </w:rPr>
        <w:t>ΙΙΙ.</w:t>
      </w:r>
      <w:r>
        <w:t xml:space="preserve"> </w:t>
      </w:r>
      <w:r>
        <w:t xml:space="preserve">Όθεν μετά την έρευνα της αρμόδιας Ελεγκτικής Επιτροπής της Βουλής και της, εν συνεχεία αυτής, διαβιβασθείσης σ’ εμάς πορισματικής έκθεσής της με την οποία, μεταξύ άλλων </w:t>
      </w:r>
      <w:r>
        <w:t xml:space="preserve">μας γνωρίζει ότι, πρέπει να χωρίσει ο κατά νόμον (ν. 2429/1996, 3213/2003) καταλογισμός σε βάρος του ***** του ***** και υπέρ του ***** για το ποσό που έλαβε αδικαιολόγητα και χωρίς νόμιμη αιτία των 200.000 και 240.000 μάρκων αντίστοιχα κατά τα έτη 1998 και 2000, κατόπιν σχετικής ομολογίας αυτού από την εταιρία </w:t>
      </w:r>
      <w:r>
        <w:rPr>
          <w:lang w:val="en-US"/>
        </w:rPr>
        <w:t>*****</w:t>
      </w:r>
      <w:r w:rsidRPr="00CE00D0">
        <w:t xml:space="preserve"> </w:t>
      </w:r>
      <w:r>
        <w:t xml:space="preserve">και καθ΄ον χρόνον ούτος </w:t>
      </w:r>
      <w:r>
        <w:t xml:space="preserve">έφερε την ιδιότητα του Υπουργού </w:t>
      </w:r>
      <w:r w:rsidRPr="00D938D3">
        <w:t>*****</w:t>
      </w:r>
      <w:r>
        <w:t>, αιτούμεθα σύμφωνα με τα άρθρα 12, 24, 26, 27, 29 του ν. 2429/1996 τον καταλογισμό του ***** του *****</w:t>
      </w:r>
      <w:r>
        <w:t>,</w:t>
      </w:r>
      <w:r>
        <w:t xml:space="preserve"> καθόσον όντας ***** ***** έλαβε καθ’ ομολογίαν του κατά τα έτη 1998 και 1999 τα χρηματικά ποσά των 200.000 και 240.000 μάρκων αντίστοιχα από την εταιρία «</w:t>
      </w:r>
      <w:r>
        <w:rPr>
          <w:lang w:val="en-US"/>
        </w:rPr>
        <w:t>*****</w:t>
      </w:r>
      <w:r>
        <w:t xml:space="preserve">» χωρίς νόμιμο λόγο, δεδομένου ότι και ως χρηματοδότηση (χορηγία) Ν.Π.Ι.Δ. αυτού ως υποψήφιου ***** κατά το άρθρο 7 </w:t>
      </w:r>
      <w:r>
        <w:t xml:space="preserve">*****. 1 </w:t>
      </w:r>
      <w:r>
        <w:t>του ν. 2429/1996 απαγορεύεται ρητώς κατά δε το άρθρο 8 *****. 2 του ιδίου ως άνω νόμου</w:t>
      </w:r>
      <w:r>
        <w:t xml:space="preserve"> ωσαύτως απαγορεύεται η χρηματοδότηση τέτοιων υπερβολικών ποσών, πλουτίσας κατά το *****απάνω συνολικό χρηματικό ποσό των 440.000 μάρκων αδικαιολόγητα κατά κατάχρηση και *****άνομη εκμετάλλευση </w:t>
      </w:r>
      <w:r>
        <w:t xml:space="preserve">της *****, που κατείχε κατά τα έτη 1998 και 1999 όντας τότε εν ενεργεία ***** </w:t>
      </w:r>
      <w:r>
        <w:t>*****</w:t>
      </w:r>
      <w:r>
        <w:t xml:space="preserve">, χωρίς επί πλέον να τα δηλώσει στις δηλώσεις περιουσιακής κατάστασής του, που υπέβαλε κατ’ άρθρ. 24, 25 του άνω νόμου </w:t>
      </w:r>
      <w:r>
        <w:t>ενώπιον της Ελεγκτικής Επιτροπής, του άρθρου 19 ιδίου νόμου, της Βουλής.</w:t>
      </w:r>
      <w:r>
        <w:t xml:space="preserve"> Προσθέτομε δε ότι ο ισχυρισμός αυτού ενώπιο</w:t>
      </w:r>
      <w:r>
        <w:t>ν της εξεταστικής Επιτροπής της Βουλής που καταγράφεται στα Πρακτικά της Συνεδρίασης της 26</w:t>
      </w:r>
      <w:r w:rsidRPr="000D3862">
        <w:rPr>
          <w:vertAlign w:val="superscript"/>
        </w:rPr>
        <w:t>ης</w:t>
      </w:r>
      <w:r>
        <w:t xml:space="preserve"> -5-2010, σύμφωνα με τον οποίο τα ως άνω ποσά θεωρεί ότι νομίμως τα έλαβε σαν χορηγία του, για τις επικείμενες βουλευτικές εκλογές αφενός μεν σαν προεκλογική χορηγία δεν επιτρέπεται από το νόμο 2429/96 (βλ. αρθρ. 7 *****. 1 και 8 *****. 2) αφού ως προαναφέρεται απαγορεύεται ρητώς, τέτοιου δε ύψους «χορηγίες» απαγορεύονται, ως προελέχθη, από το άρθρο 8 *****. 2 του ν. 2429/96 και διώκονται μάλιστα οι χορηγοί κατά την</w:t>
      </w:r>
      <w:r>
        <w:t xml:space="preserve"> *****. 3 του άρθρου 8 του νόμου τούτου ποινικώς. Δεοντολογικά για έναν *****– ***** δεν είναι αποδεκτόν και ευπρεπές ένας ***** να επιχειρεί να πείσει τον Έλληνα πολίτη και τον θεσμικό κριτή του</w:t>
      </w:r>
      <w:r>
        <w:t>,</w:t>
      </w:r>
      <w:r>
        <w:t xml:space="preserve"> ότι ένα τέτοιο χρηματικό ποσό «λαδώματος» μπορεί να γίνει αποδεκτό, από τον Έλληνα φορολογούμενο και ψηφοφόρο αλλά και τον άνω κριτή του βαπτιζόμενο ως νόμιμη χορηγία. Τότε ο άνω νόμος περί «πόθεν έσχες» που προβλέπει και τιμωρεί αλλά και που *****άλληλα καταλογίζει </w:t>
      </w:r>
      <w:r>
        <w:t>τον *****άνομα πλουτίσαντα να επιστρέψει στην Πο</w:t>
      </w:r>
      <w:r>
        <w:t>λιτεία (*****), τα εκ του *****άνομου πλουτισμού κτηθέντα, κατόπιν εκμετάλλευσης ή κατάχρησης της ιδιότητας που του έδωσε η Πολιτεία, θα καταντούσε μία φενάκη. Αποτελεί πάντως εσχάτη κατάντια του πολιτικού ανδρός, που διετέλεσε μάλιστα εκλεκτός ***** του τότε *****, να ισχυρίζεται ενώπιον της Εξεταστικής Επιτροπής της Βουλής, την 26-5-2010 ανερυθροίαστα και αδιάντροπα, ότι το ένα μέρος του «λαδώματος» (σελ. 300) στο λογαριασμό που άνοιξε ο κουμπάρος του *****δεν γνωρίζει από ποιόν προέρχεται και ότι τα δέκα</w:t>
      </w:r>
      <w:r>
        <w:t xml:space="preserve"> εκατομμύρια που έλαβαν άλλοι Υπουργοί, που ήταν και η Υπουργική ταρίφα της διαπλοκής και της διαφθοράς των διεφθαρμένων Υπουργών, δεν τα έλαβε αυτός αλλά άλλοι. Ο ***** πήγε στη Βουλή για να κοροϊδέψει και όχι για ν’ αποκαλύψει την αλήθεια ως όφειλεν. Αλλά πρέπει να γνωρίζει ότι ο κοροϊδεύων τους άλλους πρωτίστως και κυρίως κοροϊδεύει εαυτόν. </w:t>
      </w:r>
    </w:p>
    <w:p w14:paraId="5555FEA4" w14:textId="77777777" w:rsidR="006A6472" w:rsidRDefault="00B020E2">
      <w:pPr>
        <w:spacing w:line="480" w:lineRule="auto"/>
        <w:ind w:firstLine="720"/>
        <w:jc w:val="center"/>
      </w:pPr>
      <w:r>
        <w:t>Για τους λόγους αυτούς</w:t>
      </w:r>
    </w:p>
    <w:p w14:paraId="5F16B55D" w14:textId="77777777" w:rsidR="006A6472" w:rsidRDefault="00B020E2">
      <w:pPr>
        <w:spacing w:line="480" w:lineRule="auto"/>
        <w:ind w:firstLine="720"/>
        <w:jc w:val="both"/>
      </w:pPr>
      <w:r>
        <w:t>Ζητούμε τον υπέρ του ***** καταλογισμό του ***** με το ποσό των 200.000 και 240.000</w:t>
      </w:r>
      <w:r>
        <w:t xml:space="preserve"> μάρκων που έλαβε κατά τα έτη 1998 και 1999 αντίστοιχα εκμεταλλευόμενος </w:t>
      </w:r>
      <w:r>
        <w:t>την ***** ιδιότητά του χωρίς νόμιμη αιτία και των οποίων η προέλευση και κτήση, κατά τα αναπτυχθέντα στο σκεπτικό της *****ούσης ανωτέρω, (Ι, ΙΙ, ΙΙΙ) δεν δικαιολογείται.</w:t>
      </w:r>
    </w:p>
    <w:p w14:paraId="05389E2F" w14:textId="77777777" w:rsidR="006A6472" w:rsidRDefault="006A6472">
      <w:pPr>
        <w:spacing w:line="480" w:lineRule="auto"/>
        <w:ind w:firstLine="720"/>
        <w:jc w:val="both"/>
      </w:pPr>
    </w:p>
    <w:p w14:paraId="68192C0A" w14:textId="77777777" w:rsidR="006A6472" w:rsidRDefault="006A6472">
      <w:pPr>
        <w:spacing w:line="480" w:lineRule="auto"/>
        <w:ind w:firstLine="720"/>
        <w:jc w:val="both"/>
      </w:pPr>
    </w:p>
    <w:p w14:paraId="28BB79F7" w14:textId="77777777" w:rsidR="006A6472" w:rsidRDefault="006A6472">
      <w:pPr>
        <w:spacing w:line="480" w:lineRule="auto"/>
        <w:ind w:firstLine="720"/>
        <w:jc w:val="both"/>
      </w:pPr>
    </w:p>
    <w:p w14:paraId="3B42B5A6" w14:textId="77777777" w:rsidR="006A6472" w:rsidRDefault="00B020E2">
      <w:pPr>
        <w:spacing w:line="480" w:lineRule="auto"/>
        <w:jc w:val="center"/>
      </w:pPr>
      <w:r w:rsidRPr="008A2E1D">
        <w:t xml:space="preserve">Αθήνα, </w:t>
      </w:r>
      <w:r>
        <w:t>14</w:t>
      </w:r>
      <w:r w:rsidRPr="008A2E1D">
        <w:t xml:space="preserve"> </w:t>
      </w:r>
      <w:r w:rsidRPr="008A2E1D">
        <w:t>Ιουνίου 2010</w:t>
      </w:r>
    </w:p>
    <w:p w14:paraId="093F6EA2" w14:textId="77777777" w:rsidR="006A6472" w:rsidRDefault="00B020E2">
      <w:pPr>
        <w:spacing w:line="480" w:lineRule="auto"/>
        <w:jc w:val="center"/>
      </w:pPr>
      <w:r w:rsidRPr="008A2E1D">
        <w:t>Ο Γενικός Επίτροπος Επικρατείας</w:t>
      </w:r>
    </w:p>
    <w:p w14:paraId="618401B5" w14:textId="77777777" w:rsidR="006A6472" w:rsidRDefault="00B020E2">
      <w:pPr>
        <w:spacing w:line="480" w:lineRule="auto"/>
        <w:jc w:val="center"/>
      </w:pPr>
      <w:r w:rsidRPr="008A2E1D">
        <w:t>του *****</w:t>
      </w:r>
    </w:p>
    <w:p w14:paraId="20427A30" w14:textId="77777777" w:rsidR="006A6472" w:rsidRDefault="006A6472">
      <w:pPr>
        <w:spacing w:line="480" w:lineRule="auto"/>
        <w:jc w:val="center"/>
      </w:pPr>
    </w:p>
    <w:p w14:paraId="31563976" w14:textId="77777777" w:rsidR="006A6472" w:rsidRDefault="00B020E2">
      <w:pPr>
        <w:spacing w:line="480" w:lineRule="auto"/>
        <w:jc w:val="center"/>
        <w:rPr>
          <w:b/>
        </w:rPr>
      </w:pPr>
      <w:r w:rsidRPr="008A2E1D">
        <w:rPr>
          <w:b/>
        </w:rPr>
        <w:t>*****</w:t>
      </w:r>
    </w:p>
    <w:p w14:paraId="53E73C48" w14:textId="77777777" w:rsidR="006A6472" w:rsidRDefault="006A6472">
      <w:pPr>
        <w:spacing w:line="480" w:lineRule="auto"/>
        <w:jc w:val="center"/>
        <w:rPr>
          <w:b/>
        </w:rPr>
      </w:pPr>
    </w:p>
    <w:p w14:paraId="69007CE1" w14:textId="77777777" w:rsidR="006A6472" w:rsidRDefault="006A6472">
      <w:pPr>
        <w:spacing w:line="480" w:lineRule="auto"/>
        <w:jc w:val="center"/>
        <w:rPr>
          <w:b/>
        </w:rPr>
      </w:pPr>
    </w:p>
    <w:sectPr w:rsidR="006A6472" w:rsidSect="00743B4D">
      <w:headerReference w:type="even" r:id="rId9"/>
      <w:headerReference w:type="default" r:id="rId10"/>
      <w:footerReference w:type="default" r:id="rId11"/>
      <w:footerReference w:type="first" r:id="rId12"/>
      <w:pgSz w:w="11906" w:h="16838"/>
      <w:pgMar w:top="1079" w:right="1286" w:bottom="1079" w:left="16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942B7" w14:textId="77777777" w:rsidR="00B020E2" w:rsidRDefault="00B020E2">
      <w:r>
        <w:separator/>
      </w:r>
    </w:p>
  </w:endnote>
  <w:endnote w:type="continuationSeparator" w:id="0">
    <w:p w14:paraId="04E1C107" w14:textId="77777777" w:rsidR="00B020E2" w:rsidRDefault="00B0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FF0F" w14:textId="77777777" w:rsidR="006A6472" w:rsidRDefault="00B020E2">
    <w:pPr>
      <w:pStyle w:val="Footer"/>
      <w:rPr>
        <w:rFonts w:ascii="Georgia" w:hAnsi="Georgia"/>
        <w:sz w:val="18"/>
        <w:szCs w:val="18"/>
      </w:rPr>
    </w:pPr>
    <w:r>
      <w:rPr>
        <w:rFonts w:ascii="Georgia" w:hAnsi="Georgia"/>
        <w:sz w:val="18"/>
        <w:szCs w:val="18"/>
      </w:rPr>
      <w:tab/>
    </w:r>
  </w:p>
  <w:p w14:paraId="495FA7E8" w14:textId="77777777" w:rsidR="006A6472" w:rsidRDefault="00B020E2">
    <w:pPr>
      <w:pStyle w:val="Footer"/>
      <w:rPr>
        <w:lang w:val="en-GB"/>
      </w:rPr>
    </w:pPr>
    <w:r w:rsidRPr="00307843">
      <w:rPr>
        <w:rFonts w:ascii="Georgia" w:hAnsi="Georgia"/>
        <w:sz w:val="18"/>
        <w:szCs w:val="18"/>
        <w:lang w:val="en-GB"/>
      </w:rPr>
      <w:t xml:space="preserve">                                                                         </w:t>
    </w:r>
    <w:r>
      <w:rPr>
        <w:rFonts w:ascii="Georgia" w:hAnsi="Georgia"/>
        <w:sz w:val="18"/>
        <w:szCs w:val="18"/>
      </w:rPr>
      <w:tab/>
    </w:r>
    <w:r>
      <w:rPr>
        <w:rFonts w:ascii="Georgia" w:hAnsi="Georgia"/>
        <w:sz w:val="18"/>
        <w:szCs w:val="18"/>
      </w:rPr>
      <w:tab/>
    </w:r>
    <w:r w:rsidRPr="00307843">
      <w:rPr>
        <w:rFonts w:ascii="Georgia" w:hAnsi="Georgia"/>
        <w:sz w:val="18"/>
        <w:szCs w:val="18"/>
        <w:lang w:val="en-GB"/>
      </w:rPr>
      <w:t xml:space="preserve">  </w:t>
    </w:r>
    <w:r w:rsidRPr="00CA1005">
      <w:rPr>
        <w:rFonts w:ascii="Georgia" w:hAnsi="Georgia"/>
        <w:sz w:val="18"/>
        <w:szCs w:val="18"/>
      </w:rPr>
      <w:t>ΠΕΤΡΗ</w:t>
    </w:r>
    <w:r w:rsidRPr="00307843">
      <w:rPr>
        <w:rFonts w:ascii="Georgia" w:hAnsi="Georgia"/>
        <w:sz w:val="18"/>
        <w:szCs w:val="18"/>
        <w:lang w:val="en-GB"/>
      </w:rPr>
      <w:t>/</w:t>
    </w:r>
    <w:r w:rsidRPr="00CA1005">
      <w:rPr>
        <w:rFonts w:ascii="Georgia" w:hAnsi="Georgia"/>
        <w:sz w:val="18"/>
        <w:szCs w:val="18"/>
        <w:lang w:val="en-US"/>
      </w:rPr>
      <w:t>gee</w:t>
    </w:r>
    <w:r w:rsidRPr="00307843">
      <w:rPr>
        <w:rFonts w:ascii="Georgia" w:hAnsi="Georgia"/>
        <w:sz w:val="18"/>
        <w:szCs w:val="18"/>
        <w:lang w:val="en-GB"/>
      </w:rPr>
      <w:t>/</w:t>
    </w:r>
    <w:r w:rsidRPr="00CA1005">
      <w:rPr>
        <w:rFonts w:ascii="Georgia" w:hAnsi="Georgia"/>
        <w:sz w:val="18"/>
        <w:szCs w:val="18"/>
        <w:lang w:val="en-US"/>
      </w:rPr>
      <w:t>word</w:t>
    </w:r>
    <w:r w:rsidRPr="00307843">
      <w:rPr>
        <w:rFonts w:ascii="Georgia" w:hAnsi="Georgia"/>
        <w:sz w:val="18"/>
        <w:szCs w:val="18"/>
        <w:lang w:val="en-GB"/>
      </w:rPr>
      <w:t>/</w:t>
    </w:r>
    <w:r w:rsidRPr="0036684A">
      <w:rPr>
        <w:rFonts w:ascii="Georgia" w:hAnsi="Georgia"/>
        <w:sz w:val="18"/>
        <w:szCs w:val="18"/>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82B7" w14:textId="77777777" w:rsidR="006A6472" w:rsidRDefault="00B020E2">
    <w:pPr>
      <w:pStyle w:val="Footer"/>
      <w:rPr>
        <w:rFonts w:ascii="Georgia" w:hAnsi="Georgia"/>
        <w:sz w:val="18"/>
        <w:szCs w:val="18"/>
      </w:rPr>
    </w:pPr>
    <w:r w:rsidRPr="00307843">
      <w:rPr>
        <w:rFonts w:ascii="Georgia" w:hAnsi="Georgia"/>
        <w:sz w:val="18"/>
        <w:szCs w:val="18"/>
        <w:lang w:val="en-GB"/>
      </w:rPr>
      <w:t xml:space="preserve">   </w:t>
    </w:r>
  </w:p>
  <w:p w14:paraId="380E81F8" w14:textId="77777777" w:rsidR="006A6472" w:rsidRDefault="00B020E2">
    <w:pPr>
      <w:pStyle w:val="Footer"/>
      <w:rPr>
        <w:rFonts w:ascii="Georgia" w:hAnsi="Georgia"/>
        <w:sz w:val="18"/>
        <w:szCs w:val="18"/>
        <w:lang w:val="en-GB"/>
      </w:rPr>
    </w:pPr>
    <w:r w:rsidRPr="00307843">
      <w:rPr>
        <w:rFonts w:ascii="Georgia" w:hAnsi="Georgia"/>
        <w:sz w:val="18"/>
        <w:szCs w:val="18"/>
        <w:lang w:val="en-GB"/>
      </w:rPr>
      <w:t xml:space="preserve">                                                                     </w:t>
    </w:r>
    <w:r w:rsidRPr="00307843">
      <w:rPr>
        <w:rFonts w:ascii="Georgia" w:hAnsi="Georgia"/>
        <w:sz w:val="18"/>
        <w:szCs w:val="18"/>
        <w:lang w:val="en-GB"/>
      </w:rPr>
      <w:tab/>
    </w:r>
    <w:r w:rsidRPr="00307843">
      <w:rPr>
        <w:rFonts w:ascii="Georgia" w:hAnsi="Georgia"/>
        <w:sz w:val="18"/>
        <w:szCs w:val="18"/>
        <w:lang w:val="en-GB"/>
      </w:rPr>
      <w:tab/>
      <w:t xml:space="preserve">  </w:t>
    </w:r>
    <w:r w:rsidRPr="00CA1005">
      <w:rPr>
        <w:rFonts w:ascii="Georgia" w:hAnsi="Georgia"/>
        <w:sz w:val="18"/>
        <w:szCs w:val="18"/>
      </w:rPr>
      <w:t>ΠΕΤΡΗ</w:t>
    </w:r>
    <w:r w:rsidRPr="00307843">
      <w:rPr>
        <w:rFonts w:ascii="Georgia" w:hAnsi="Georgia"/>
        <w:sz w:val="18"/>
        <w:szCs w:val="18"/>
        <w:lang w:val="en-GB"/>
      </w:rPr>
      <w:t>/</w:t>
    </w:r>
    <w:r w:rsidRPr="00CA1005">
      <w:rPr>
        <w:rFonts w:ascii="Georgia" w:hAnsi="Georgia"/>
        <w:sz w:val="18"/>
        <w:szCs w:val="18"/>
        <w:lang w:val="en-US"/>
      </w:rPr>
      <w:t>gee</w:t>
    </w:r>
    <w:r w:rsidRPr="00307843">
      <w:rPr>
        <w:rFonts w:ascii="Georgia" w:hAnsi="Georgia"/>
        <w:sz w:val="18"/>
        <w:szCs w:val="18"/>
        <w:lang w:val="en-GB"/>
      </w:rPr>
      <w:t>/</w:t>
    </w:r>
    <w:r w:rsidRPr="00CA1005">
      <w:rPr>
        <w:rFonts w:ascii="Georgia" w:hAnsi="Georgia"/>
        <w:sz w:val="18"/>
        <w:szCs w:val="18"/>
        <w:lang w:val="en-US"/>
      </w:rPr>
      <w:t>word</w:t>
    </w:r>
    <w:r w:rsidRPr="00307843">
      <w:rPr>
        <w:rFonts w:ascii="Georgia" w:hAnsi="Georgia"/>
        <w:sz w:val="18"/>
        <w:szCs w:val="18"/>
        <w:lang w:val="en-GB"/>
      </w:rPr>
      <w:t>/</w:t>
    </w:r>
    <w:r w:rsidRPr="0036684A">
      <w:rPr>
        <w:rFonts w:ascii="Georgia" w:hAnsi="Georgia"/>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E449" w14:textId="77777777" w:rsidR="00B020E2" w:rsidRDefault="00B020E2">
      <w:r>
        <w:separator/>
      </w:r>
    </w:p>
  </w:footnote>
  <w:footnote w:type="continuationSeparator" w:id="0">
    <w:p w14:paraId="62300A59" w14:textId="77777777" w:rsidR="00B020E2" w:rsidRDefault="00B02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147B" w14:textId="77777777" w:rsidR="006A6472" w:rsidRDefault="00B020E2">
    <w:pPr>
      <w:pStyle w:val="Header"/>
      <w:framePr w:wrap="around" w:vAnchor="text" w:hAnchor="margin" w:xAlign="center" w:y="1"/>
      <w:rPr>
        <w:rStyle w:val="PageNumber"/>
      </w:rPr>
    </w:pPr>
    <w:r>
      <w:pgNum/>
    </w:r>
  </w:p>
  <w:p w14:paraId="0C06A2C8" w14:textId="77777777" w:rsidR="006A6472" w:rsidRDefault="006A6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A99E" w14:textId="77777777" w:rsidR="006A6472" w:rsidRDefault="00B020E2">
    <w:pPr>
      <w:pStyle w:val="Head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noProof/>
      </w:rPr>
      <w:t>7</w:t>
    </w:r>
    <w:r>
      <w:rPr>
        <w:rStyle w:val="PageNumber"/>
      </w:rPr>
      <w:fldChar w:fldCharType="end"/>
    </w:r>
  </w:p>
  <w:p w14:paraId="1E11B697" w14:textId="77777777" w:rsidR="006A6472" w:rsidRDefault="006A6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DA5"/>
    <w:multiLevelType w:val="hybridMultilevel"/>
    <w:tmpl w:val="FE885280"/>
    <w:lvl w:ilvl="0" w:tplc="6A244CAE">
      <w:start w:val="1"/>
      <w:numFmt w:val="upperRoman"/>
      <w:lvlText w:val="%1."/>
      <w:lvlJc w:val="right"/>
      <w:pPr>
        <w:tabs>
          <w:tab w:val="num" w:pos="1260"/>
        </w:tabs>
        <w:ind w:left="1260" w:hanging="180"/>
      </w:pPr>
      <w:rPr>
        <w:b/>
      </w:rPr>
    </w:lvl>
    <w:lvl w:ilvl="1" w:tplc="1D9EB30C">
      <w:start w:val="1"/>
      <w:numFmt w:val="decimal"/>
      <w:lvlText w:val="%2."/>
      <w:lvlJc w:val="left"/>
      <w:pPr>
        <w:tabs>
          <w:tab w:val="num" w:pos="2160"/>
        </w:tabs>
        <w:ind w:left="2160" w:hanging="360"/>
      </w:pPr>
      <w:rPr>
        <w:rFonts w:hint="default"/>
        <w:b/>
      </w:rPr>
    </w:lvl>
    <w:lvl w:ilvl="2" w:tplc="7EA60B82">
      <w:start w:val="1"/>
      <w:numFmt w:val="lowerRoman"/>
      <w:lvlText w:val="%3."/>
      <w:lvlJc w:val="right"/>
      <w:pPr>
        <w:tabs>
          <w:tab w:val="num" w:pos="2880"/>
        </w:tabs>
        <w:ind w:left="2880" w:hanging="180"/>
      </w:pPr>
    </w:lvl>
    <w:lvl w:ilvl="3" w:tplc="B9CC7034">
      <w:start w:val="1"/>
      <w:numFmt w:val="decimal"/>
      <w:lvlText w:val="%4."/>
      <w:lvlJc w:val="left"/>
      <w:pPr>
        <w:tabs>
          <w:tab w:val="num" w:pos="3600"/>
        </w:tabs>
        <w:ind w:left="3600" w:hanging="360"/>
      </w:pPr>
    </w:lvl>
    <w:lvl w:ilvl="4" w:tplc="1A1269E8">
      <w:start w:val="1"/>
      <w:numFmt w:val="lowerLetter"/>
      <w:lvlText w:val="%5."/>
      <w:lvlJc w:val="left"/>
      <w:pPr>
        <w:tabs>
          <w:tab w:val="num" w:pos="4320"/>
        </w:tabs>
        <w:ind w:left="4320" w:hanging="360"/>
      </w:pPr>
    </w:lvl>
    <w:lvl w:ilvl="5" w:tplc="4FE68AF8">
      <w:start w:val="1"/>
      <w:numFmt w:val="lowerRoman"/>
      <w:lvlText w:val="%6."/>
      <w:lvlJc w:val="right"/>
      <w:pPr>
        <w:tabs>
          <w:tab w:val="num" w:pos="5040"/>
        </w:tabs>
        <w:ind w:left="5040" w:hanging="180"/>
      </w:pPr>
    </w:lvl>
    <w:lvl w:ilvl="6" w:tplc="CD60762A">
      <w:start w:val="1"/>
      <w:numFmt w:val="decimal"/>
      <w:lvlText w:val="%7."/>
      <w:lvlJc w:val="left"/>
      <w:pPr>
        <w:tabs>
          <w:tab w:val="num" w:pos="5760"/>
        </w:tabs>
        <w:ind w:left="5760" w:hanging="360"/>
      </w:pPr>
    </w:lvl>
    <w:lvl w:ilvl="7" w:tplc="8DDA8F84">
      <w:start w:val="1"/>
      <w:numFmt w:val="lowerLetter"/>
      <w:lvlText w:val="%8."/>
      <w:lvlJc w:val="left"/>
      <w:pPr>
        <w:tabs>
          <w:tab w:val="num" w:pos="6480"/>
        </w:tabs>
        <w:ind w:left="6480" w:hanging="360"/>
      </w:pPr>
    </w:lvl>
    <w:lvl w:ilvl="8" w:tplc="30904BB6">
      <w:start w:val="1"/>
      <w:numFmt w:val="lowerRoman"/>
      <w:lvlText w:val="%9."/>
      <w:lvlJc w:val="right"/>
      <w:pPr>
        <w:tabs>
          <w:tab w:val="num" w:pos="7200"/>
        </w:tabs>
        <w:ind w:left="7200" w:hanging="180"/>
      </w:pPr>
    </w:lvl>
  </w:abstractNum>
  <w:abstractNum w:abstractNumId="1" w15:restartNumberingAfterBreak="0">
    <w:nsid w:val="2F325545"/>
    <w:multiLevelType w:val="multilevel"/>
    <w:tmpl w:val="FBF6D04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15:restartNumberingAfterBreak="0">
    <w:nsid w:val="33034860"/>
    <w:multiLevelType w:val="multilevel"/>
    <w:tmpl w:val="97A634C6"/>
    <w:lvl w:ilvl="0">
      <w:start w:val="1"/>
      <w:numFmt w:val="upperRoman"/>
      <w:lvlText w:val="%1."/>
      <w:lvlJc w:val="right"/>
      <w:pPr>
        <w:tabs>
          <w:tab w:val="num" w:pos="1260"/>
        </w:tabs>
        <w:ind w:left="1260" w:hanging="180"/>
      </w:pPr>
      <w:rPr>
        <w:b/>
      </w:rPr>
    </w:lvl>
    <w:lvl w:ilvl="1">
      <w:start w:val="1"/>
      <w:numFmt w:val="decimal"/>
      <w:lvlText w:val="%2."/>
      <w:lvlJc w:val="left"/>
      <w:pPr>
        <w:tabs>
          <w:tab w:val="num" w:pos="2160"/>
        </w:tabs>
        <w:ind w:left="2160" w:hanging="360"/>
      </w:pPr>
      <w:rPr>
        <w:rFonts w:hint="default"/>
        <w:b/>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57F3535E"/>
    <w:multiLevelType w:val="multilevel"/>
    <w:tmpl w:val="ED0EB72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15:restartNumberingAfterBreak="0">
    <w:nsid w:val="58CE20C1"/>
    <w:multiLevelType w:val="multilevel"/>
    <w:tmpl w:val="7FE04146"/>
    <w:lvl w:ilvl="0">
      <w:start w:val="1"/>
      <w:numFmt w:val="decimal"/>
      <w:lvlText w:val="%1."/>
      <w:lvlJc w:val="left"/>
      <w:pPr>
        <w:tabs>
          <w:tab w:val="num" w:pos="1440"/>
        </w:tabs>
        <w:ind w:left="1440" w:hanging="360"/>
      </w:pPr>
      <w:rPr>
        <w:b/>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5BCD0E41"/>
    <w:multiLevelType w:val="multilevel"/>
    <w:tmpl w:val="075CA93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1388335509">
    <w:abstractNumId w:val="3"/>
  </w:num>
  <w:num w:numId="2" w16cid:durableId="2013097107">
    <w:abstractNumId w:val="1"/>
  </w:num>
  <w:num w:numId="3" w16cid:durableId="1073090318">
    <w:abstractNumId w:val="0"/>
  </w:num>
  <w:num w:numId="4" w16cid:durableId="675958329">
    <w:abstractNumId w:val="2"/>
  </w:num>
  <w:num w:numId="5" w16cid:durableId="978925707">
    <w:abstractNumId w:val="4"/>
  </w:num>
  <w:num w:numId="6" w16cid:durableId="873881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72"/>
    <w:rsid w:val="004B06AC"/>
    <w:rsid w:val="006A6472"/>
    <w:rsid w:val="00B020E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91C3"/>
  <w15:docId w15:val="{896EAC86-B95F-4DC2-B142-74B77605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l-GR" w:eastAsia="el-G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rsid w:val="003E2504"/>
    <w:pPr>
      <w:tabs>
        <w:tab w:val="center" w:pos="4320"/>
        <w:tab w:val="right" w:pos="8640"/>
      </w:tabs>
    </w:pPr>
  </w:style>
  <w:style w:type="character" w:styleId="PageNumber">
    <w:name w:val="page number"/>
    <w:basedOn w:val="DefaultParagraphFont"/>
    <w:rsid w:val="003E2504"/>
  </w:style>
  <w:style w:type="paragraph" w:styleId="Footer">
    <w:name w:val="footer"/>
    <w:basedOn w:val="Normal"/>
    <w:qFormat/>
    <w:rsid w:val="003E2504"/>
    <w:pPr>
      <w:tabs>
        <w:tab w:val="center" w:pos="4320"/>
        <w:tab w:val="right" w:pos="8640"/>
      </w:tabs>
    </w:pPr>
  </w:style>
  <w:style w:type="paragraph" w:styleId="BalloonText">
    <w:name w:val="Balloon Text"/>
    <w:basedOn w:val="Normal"/>
    <w:semiHidden/>
    <w:rsid w:val="0068724A"/>
    <w:rPr>
      <w:rFonts w:ascii="Tahoma" w:hAnsi="Tahoma" w:cs="Tahoma"/>
      <w:sz w:val="16"/>
      <w:szCs w:val="16"/>
    </w:rPr>
  </w:style>
  <w:style w:type="paragraph" w:styleId="FootnoteText">
    <w:name w:val="footnote text"/>
    <w:basedOn w:val="Normal"/>
    <w:semiHidden/>
    <w:rsid w:val="00E176D0"/>
    <w:rPr>
      <w:sz w:val="20"/>
      <w:szCs w:val="20"/>
    </w:rPr>
  </w:style>
  <w:style w:type="character" w:styleId="FootnoteReference">
    <w:name w:val="footnote reference"/>
    <w:basedOn w:val="DefaultParagraphFont"/>
    <w:semiHidden/>
    <w:rsid w:val="00E176D0"/>
    <w:rPr>
      <w:vertAlign w:val="superscript"/>
    </w:rPr>
  </w:style>
  <w:style w:type="paragraph" w:customStyle="1" w:styleId="13pt">
    <w:name w:val="Βασικό + 13 pt"/>
    <w:aliases w:val="59 εκ.,Δεξιά:  -0,Διάστιχο:  Διπλό,Πλήρης"/>
    <w:basedOn w:val="Normal"/>
    <w:qFormat/>
    <w:rsid w:val="00F34094"/>
    <w:pPr>
      <w:spacing w:line="480" w:lineRule="auto"/>
      <w:ind w:right="-334"/>
      <w:jc w:val="both"/>
    </w:pPr>
    <w:rPr>
      <w:sz w:val="26"/>
      <w:szCs w:val="26"/>
    </w:rPr>
  </w:style>
  <w:style w:type="table" w:styleId="TableGrid">
    <w:name w:val="Table Grid"/>
    <w:basedOn w:val="TableNormal"/>
    <w:tblPr>
      <w:tblBorders>
        <w:top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37249">
      <w:marLeft w:val="0"/>
      <w:marRight w:val="0"/>
      <w:marTop w:val="0"/>
      <w:marBottom w:val="0"/>
      <w:divBdr>
        <w:top w:val="none" w:sz="0" w:space="0" w:color="auto"/>
        <w:left w:val="single" w:sz="36" w:space="0" w:color="FFFFFF"/>
        <w:bottom w:val="none" w:sz="0" w:space="0" w:color="auto"/>
        <w:right w:val="none" w:sz="0" w:space="0" w:color="auto"/>
      </w:divBdr>
      <w:divsChild>
        <w:div w:id="1612590324">
          <w:marLeft w:val="0"/>
          <w:marRight w:val="0"/>
          <w:marTop w:val="435"/>
          <w:marBottom w:val="0"/>
          <w:divBdr>
            <w:top w:val="none" w:sz="0" w:space="0" w:color="auto"/>
            <w:left w:val="none" w:sz="0" w:space="0" w:color="auto"/>
            <w:bottom w:val="none" w:sz="0" w:space="0" w:color="auto"/>
            <w:right w:val="none" w:sz="0" w:space="0" w:color="auto"/>
          </w:divBdr>
          <w:divsChild>
            <w:div w:id="1107624973">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685448280">
      <w:marLeft w:val="0"/>
      <w:marRight w:val="0"/>
      <w:marTop w:val="0"/>
      <w:marBottom w:val="0"/>
      <w:divBdr>
        <w:top w:val="none" w:sz="0" w:space="0" w:color="auto"/>
        <w:left w:val="single" w:sz="36" w:space="0" w:color="FFFFFF"/>
        <w:bottom w:val="none" w:sz="0" w:space="0" w:color="auto"/>
        <w:right w:val="none" w:sz="0" w:space="0" w:color="auto"/>
      </w:divBdr>
      <w:divsChild>
        <w:div w:id="414667179">
          <w:marLeft w:val="0"/>
          <w:marRight w:val="0"/>
          <w:marTop w:val="435"/>
          <w:marBottom w:val="0"/>
          <w:divBdr>
            <w:top w:val="none" w:sz="0" w:space="0" w:color="auto"/>
            <w:left w:val="none" w:sz="0" w:space="0" w:color="auto"/>
            <w:bottom w:val="none" w:sz="0" w:space="0" w:color="auto"/>
            <w:right w:val="none" w:sz="0" w:space="0" w:color="auto"/>
          </w:divBdr>
          <w:divsChild>
            <w:div w:id="11756538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34429223">
      <w:marLeft w:val="0"/>
      <w:marRight w:val="0"/>
      <w:marTop w:val="0"/>
      <w:marBottom w:val="0"/>
      <w:divBdr>
        <w:top w:val="none" w:sz="0" w:space="0" w:color="auto"/>
        <w:left w:val="single" w:sz="36" w:space="0" w:color="FFFFFF"/>
        <w:bottom w:val="none" w:sz="0" w:space="0" w:color="auto"/>
        <w:right w:val="none" w:sz="0" w:space="0" w:color="auto"/>
      </w:divBdr>
      <w:divsChild>
        <w:div w:id="1475178490">
          <w:marLeft w:val="0"/>
          <w:marRight w:val="0"/>
          <w:marTop w:val="435"/>
          <w:marBottom w:val="0"/>
          <w:divBdr>
            <w:top w:val="none" w:sz="0" w:space="0" w:color="auto"/>
            <w:left w:val="none" w:sz="0" w:space="0" w:color="auto"/>
            <w:bottom w:val="none" w:sz="0" w:space="0" w:color="auto"/>
            <w:right w:val="none" w:sz="0" w:space="0" w:color="auto"/>
          </w:divBdr>
          <w:divsChild>
            <w:div w:id="163868000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extended-properties" xmlns:vt="http://schemas.openxmlformats.org/officeDocument/2006/docPropsVTypes">
  <Template>Normal.dotm</Template>
  <TotalTime>0</TotalTime>
  <Pages>7</Pages>
  <Words>2022</Words>
  <Characters>11530</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ΓΕΝΙΚΗ ΕΠΙΤΡΟΠΕΙΑ ΕΠΙΚΡΑΤΕΙΑΣ</vt:lpstr>
    </vt:vector>
  </TitlesOfParts>
  <Company/>
  <LinksUpToDate>false</LinksUpToDate>
  <CharactersWithSpaces>13525</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ΓΕΝΙΚΗ ΕΠΙΤΡΟΠΕΙΑ ΕΠΙΚΡΑΤΕΙΑΣ</dc:title>
  <dc:subject/>
  <dc:creator>eisigitis8</dc:creator>
  <cp:keywords/>
  <cp:lastModifiedBy>Kostas Kouvelis</cp:lastModifiedBy>
  <cp:revision>2</cp:revision>
  <cp:lastPrinted>2010-06-10T06:36:00Z</cp:lastPrinted>
  <dcterms:created xsi:type="dcterms:W3CDTF">2025-12-02T10:12:00Z</dcterms:created>
  <dcterms:modified xsi:type="dcterms:W3CDTF">2025-12-02T10:12:00Z</dcterms:modified>
</cp:coreProperties>
</file>

<file path=customXml/itemProps1.xml><?xml version="1.0" encoding="utf-8"?>
<ds:datastoreItem xmlns:ds="http://schemas.openxmlformats.org/officeDocument/2006/customXml" ds:itemID="{0A624321-79A3-49C0-9AD3-38884C4B9764}">
  <ds:schemaRefs/>
</ds:datastoreItem>
</file>

<file path=customXml/itemProps2.xml><?xml version="1.0" encoding="utf-8"?>
<ds:datastoreItem xmlns:ds="http://schemas.openxmlformats.org/officeDocument/2006/customXml" ds:itemID="{858CE5BA-C92F-47E5-BFAE-49A590ACA6E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1960</Words>
  <Characters>11174</Characters>
  <Application>Microsoft Office Word</Application>
  <DocSecurity>0</DocSecurity>
  <Lines>93</Lines>
  <Paragraphs>26</Paragraphs>
  <ScaleCrop>false</ScaleCrop>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ΓΕΝΙΚΗ ΕΠΙΤΡΟΠΕΙΑ ΕΠΙΚΡΑΤΕΙΑΣ</dc:title>
  <dc:creator>eisigitis8</dc:creator>
  <cp:lastModifiedBy>Kostas Kouvelis</cp:lastModifiedBy>
  <cp:revision>2</cp:revision>
  <cp:lastPrinted>2010-06-10T06:36:00Z</cp:lastPrinted>
  <dcterms:created xsi:type="dcterms:W3CDTF">2025-12-02T11:25:00Z</dcterms:created>
  <dcterms:modified xsi:type="dcterms:W3CDTF">2025-12-02T11:25:00Z</dcterms:modified>
</cp:coreProperties>
</file>