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ascii="Calibri" w:hAnsi="Calibri" w:asciiTheme="minorHAnsi" w:hAnsiTheme="minorHAnsi" w:cs="Arial" w:cstheme="minorHAnsi"/>
          <w:sz w:val="24"/>
          <w:lang w:val="en-US"/>
        </w:rPr>
      </w:pPr>
      <w:r>
        <w:rPr>
          <w:rFonts w:ascii="Calibri" w:hAnsi="Calibri" w:asciiTheme="minorHAnsi" w:hAnsiTheme="minorHAnsi" w:cs="Arial" w:cstheme="minorHAnsi"/>
          <w:noProof/>
          <w:sz w:val="24"/>
        </w:rPr>
        <w:drawing>
          <wp:anchor distT="0" distB="0" distL="114300" distR="114300" simplePos="0" relativeHeight="251657728" behindDoc="0" locked="0" layoutInCell="1" allowOverlap="1">
            <wp:simplePos x="0" y="0"/>
            <wp:positionH relativeFrom="column">
              <wp:posOffset>-114300</wp:posOffset>
            </wp:positionH>
            <wp:positionV relativeFrom="paragraph">
              <wp:posOffset>-114300</wp:posOffset>
            </wp:positionV>
            <wp:extent cx="2857500" cy="537210"/>
            <wp:effectExtent l="0" t="0" r="0" b="0"/>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7"/>
                    <a:stretch>
                      <a:fillRect/>
                    </a:stretch>
                  </pic:blipFill>
                  <pic:spPr bwMode="auto">
                    <a:xfrm>
                      <a:off x="0" y="0"/>
                      <a:ext cx="2857500" cy="537210"/>
                    </a:xfrm>
                    <a:prstGeom prst="rect">
                      <a:avLst/>
                    </a:prstGeom>
                    <a:noFill/>
                    <a:ln>
                      <a:noFill/>
                    </a:ln>
                  </pic:spPr>
                </pic:pic>
              </a:graphicData>
            </a:graphic>
            <wp14:sizeRelH relativeFrom="page">
              <wp14:pctWidth>0</wp14:pctWidth>
            </wp14:sizeRelH>
            <wp14:sizeRelV relativeFrom="page">
              <wp14:pctHeight>0</wp14:pctHeight>
            </wp14:sizeRelV>
          </wp:anchor>
        </w:drawing>
      </w:r>
    </w:p>
    <w:p>
      <w:pPr>
        <w:rPr>
          <w:rFonts w:ascii="Calibri" w:hAnsi="Calibri" w:asciiTheme="minorHAnsi" w:hAnsiTheme="minorHAnsi" w:cs="Arial" w:cstheme="minorHAnsi"/>
          <w:sz w:val="24"/>
          <w:lang w:val="en-US"/>
        </w:rPr>
      </w:pPr>
    </w:p>
    <w:p>
      <w:pPr>
        <w:rPr>
          <w:rFonts w:ascii="Calibri" w:hAnsi="Calibri" w:asciiTheme="minorHAnsi" w:hAnsiTheme="minorHAnsi" w:cs="Arial" w:cstheme="minorHAnsi"/>
          <w:sz w:val="24"/>
          <w:lang w:val="en-US"/>
        </w:rPr>
      </w:pPr>
    </w:p>
    <w:p>
      <w:pPr>
        <w:rPr>
          <w:rFonts w:ascii="Calibri" w:hAnsi="Calibri" w:asciiTheme="minorHAnsi" w:hAnsiTheme="minorHAnsi" w:cs="Arial" w:cstheme="minorHAnsi"/>
          <w:sz w:val="24"/>
        </w:rPr>
      </w:pPr>
    </w:p>
    <w:tbl>
      <w:tblPr>
        <w:tblStyle w:val="TableNormal"/>
        <w:tblW w:w="8820" w:type="dxa"/>
        <w:jc w:val="center"/>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Look w:val="01E0" w:firstRow="1" w:lastRow="1" w:firstColumn="1" w:lastColumn="1" w:noHBand="0" w:noVBand="0"/>
      </w:tblPr>
      <w:tblGrid>
        <w:gridCol w:w="1273"/>
        <w:gridCol w:w="1985"/>
        <w:gridCol w:w="5562"/>
      </w:tblGrid>
      <w:tr w:rsidTr="00C95D93">
        <w:trPr>
          <w:trHeight w:val="327"/>
          <w:jc w:val="center"/>
        </w:trPr>
        <w:tc>
          <w:tcPr>
            <w:tcW w:w="1273" w:type="dxa"/>
            <w:tcBorders>
              <w:top w:val="single" w:sz="2" w:space="0" w:color="0070C0"/>
              <w:left w:val="single" w:sz="2" w:space="0" w:color="0070C0"/>
              <w:bottom w:val="single" w:sz="2" w:space="0" w:color="0070C0"/>
              <w:right w:val="single" w:sz="2" w:space="0" w:color="0070C0"/>
            </w:tcBorders>
            <w:shd w:val="clear" w:color="auto" w:fill="auto"/>
            <w:vAlign w:val="center"/>
          </w:tcPr>
          <w:p>
            <w:pPr>
              <w:rPr>
                <w:rFonts w:ascii="Calibri" w:hAnsi="Calibri" w:asciiTheme="minorHAnsi" w:hAnsiTheme="minorHAnsi" w:cs="Arial" w:cstheme="minorHAnsi"/>
                <w:b/>
                <w:color w:val="0070C0"/>
                <w:sz w:val="18"/>
                <w:szCs w:val="18"/>
              </w:rPr>
            </w:pPr>
            <w:r w:rsidRPr="00EE638F">
              <w:rPr>
                <w:rFonts w:ascii="Calibri" w:hAnsi="Calibri" w:asciiTheme="minorHAnsi" w:hAnsiTheme="minorHAnsi" w:cs="Arial" w:cstheme="minorHAnsi"/>
                <w:b/>
                <w:color w:val="0070C0"/>
                <w:sz w:val="18"/>
                <w:szCs w:val="18"/>
              </w:rPr>
              <w:t xml:space="preserve">ΑΒΔ</w:t>
            </w:r>
          </w:p>
        </w:tc>
        <w:tc>
          <w:tcPr>
            <w:tcW w:w="1985" w:type="dxa"/>
            <w:tcBorders>
              <w:top w:val="single" w:sz="2" w:space="0" w:color="0070C0"/>
              <w:left w:val="single" w:sz="2" w:space="0" w:color="0070C0"/>
              <w:bottom w:val="single" w:sz="2" w:space="0" w:color="0070C0"/>
              <w:right w:val="single" w:sz="2" w:space="0" w:color="0070C0"/>
            </w:tcBorders>
            <w:shd w:val="clear" w:color="auto" w:fill="auto"/>
            <w:vAlign w:val="center"/>
          </w:tcPr>
          <w:p>
            <w:pPr>
              <w:rPr>
                <w:rFonts w:ascii="Calibri" w:hAnsi="Calibri" w:asciiTheme="minorHAnsi" w:hAnsiTheme="minorHAnsi" w:cs="Arial" w:cstheme="minorHAnsi"/>
                <w:b/>
                <w:color w:val="0070C0"/>
                <w:sz w:val="18"/>
                <w:szCs w:val="18"/>
              </w:rPr>
            </w:pPr>
            <w:r w:rsidRPr="00EE638F">
              <w:rPr>
                <w:rFonts w:ascii="Calibri" w:hAnsi="Calibri" w:asciiTheme="minorHAnsi" w:hAnsiTheme="minorHAnsi" w:cs="Arial" w:cstheme="minorHAnsi"/>
                <w:b/>
                <w:color w:val="0070C0"/>
                <w:sz w:val="18"/>
                <w:szCs w:val="18"/>
              </w:rPr>
              <w:t xml:space="preserve">*****</w:t>
            </w:r>
          </w:p>
        </w:tc>
        <w:tc>
          <w:tcPr>
            <w:tcW w:w="5562" w:type="dxa"/>
            <w:vMerge w:val="restart"/>
            <w:tcBorders>
              <w:top w:val="single" w:sz="2" w:space="0" w:color="0070C0"/>
              <w:left w:val="single" w:sz="2" w:space="0" w:color="0070C0"/>
              <w:bottom w:val="single" w:sz="2" w:space="0" w:color="0070C0"/>
              <w:right w:val="single" w:sz="2" w:space="0" w:color="0070C0"/>
            </w:tcBorders>
            <w:shd w:val="clear" w:color="auto" w:fill="auto"/>
            <w:tcMar>
              <w:left w:w="0" w:type="dxa"/>
              <w:right w:w="0" w:type="dxa"/>
            </w:tcMar>
            <w:vAlign w:val="center"/>
          </w:tcPr>
          <w:p>
            <w:pPr>
              <w:rPr>
                <w:rFonts w:ascii="Calibri" w:hAnsi="Calibri" w:asciiTheme="minorHAnsi" w:hAnsiTheme="minorHAnsi" w:cs="Arial" w:cstheme="minorHAnsi"/>
                <w:color w:val="0070C0"/>
                <w:sz w:val="28"/>
                <w:szCs w:val="28"/>
                <w:lang w:val="en-US"/>
              </w:rPr>
            </w:pPr>
            <w:r w:rsidRPr="00500C09">
              <w:rPr>
                <w:rFonts w:ascii="Calibri" w:hAnsi="Calibri" w:asciiTheme="minorHAnsi" w:hAnsiTheme="minorHAnsi" w:cs="Arial" w:cstheme="minorHAnsi"/>
                <w:b/>
                <w:color w:val="0070C0"/>
                <w:spacing w:val="120"/>
                <w:sz w:val="24"/>
              </w:rPr>
              <w:t xml:space="preserve">         </w:t>
            </w:r>
            <w:r w:rsidRPr="00EE638F" w:rsidR="00635E1C">
              <w:rPr>
                <w:rFonts w:ascii="Calibri" w:hAnsi="Calibri" w:asciiTheme="minorHAnsi" w:hAnsiTheme="minorHAnsi" w:cs="Arial" w:cstheme="minorHAnsi"/>
                <w:b/>
                <w:color w:val="0070C0"/>
                <w:spacing w:val="120"/>
                <w:sz w:val="28"/>
                <w:szCs w:val="28"/>
              </w:rPr>
              <w:t xml:space="preserve">ΓΝΩΜΗ</w:t>
            </w:r>
          </w:p>
        </w:tc>
      </w:tr>
      <w:tr w:rsidTr="00C95D93">
        <w:trPr>
          <w:trHeight w:val="327"/>
          <w:jc w:val="center"/>
        </w:trPr>
        <w:tc>
          <w:tcPr>
            <w:tcW w:w="1273" w:type="dxa"/>
            <w:tcBorders>
              <w:top w:val="single" w:sz="2" w:space="0" w:color="0070C0"/>
              <w:left w:val="single" w:sz="2" w:space="0" w:color="0070C0"/>
              <w:bottom w:val="single" w:sz="2" w:space="0" w:color="0070C0"/>
              <w:right w:val="single" w:sz="2" w:space="0" w:color="0070C0"/>
            </w:tcBorders>
            <w:shd w:val="clear" w:color="auto" w:fill="auto"/>
            <w:vAlign w:val="center"/>
          </w:tcPr>
          <w:p>
            <w:pPr>
              <w:rPr>
                <w:rFonts w:ascii="Calibri" w:hAnsi="Calibri" w:asciiTheme="minorHAnsi" w:hAnsiTheme="minorHAnsi" w:cs="Arial" w:cstheme="minorHAnsi"/>
                <w:b/>
                <w:color w:val="0070C0"/>
                <w:sz w:val="18"/>
                <w:szCs w:val="18"/>
              </w:rPr>
            </w:pPr>
            <w:r w:rsidRPr="00EE638F">
              <w:rPr>
                <w:rFonts w:ascii="Calibri" w:hAnsi="Calibri" w:asciiTheme="minorHAnsi" w:hAnsiTheme="minorHAnsi" w:cs="Arial" w:cstheme="minorHAnsi"/>
                <w:b/>
                <w:color w:val="0070C0"/>
                <w:sz w:val="18"/>
                <w:szCs w:val="18"/>
              </w:rPr>
              <w:t xml:space="preserve">Πινάκιο</w:t>
            </w:r>
          </w:p>
        </w:tc>
        <w:tc>
          <w:tcPr>
            <w:tcW w:w="1985" w:type="dxa"/>
            <w:tcBorders>
              <w:top w:val="single" w:sz="2" w:space="0" w:color="0070C0"/>
              <w:left w:val="single" w:sz="2" w:space="0" w:color="0070C0"/>
              <w:bottom w:val="single" w:sz="2" w:space="0" w:color="0070C0"/>
              <w:right w:val="single" w:sz="2" w:space="0" w:color="0070C0"/>
            </w:tcBorders>
            <w:shd w:val="clear" w:color="auto" w:fill="auto"/>
            <w:vAlign w:val="center"/>
          </w:tcPr>
          <w:p>
            <w:pPr>
              <w:rPr>
                <w:rFonts w:ascii="Calibri" w:hAnsi="Calibri" w:asciiTheme="minorHAnsi" w:hAnsiTheme="minorHAnsi" w:cs="Arial" w:cstheme="minorHAnsi"/>
                <w:b/>
                <w:color w:val="0070C0"/>
                <w:sz w:val="18"/>
                <w:szCs w:val="18"/>
              </w:rPr>
            </w:pPr>
            <w:r w:rsidRPr="00EE638F">
              <w:rPr>
                <w:rFonts w:ascii="Calibri" w:hAnsi="Calibri" w:asciiTheme="minorHAnsi" w:hAnsiTheme="minorHAnsi" w:cs="Arial" w:cstheme="minorHAnsi"/>
                <w:b/>
                <w:color w:val="0070C0"/>
                <w:sz w:val="18"/>
                <w:szCs w:val="18"/>
              </w:rPr>
              <w:t xml:space="preserve">01</w:t>
            </w:r>
          </w:p>
        </w:tc>
        <w:tc>
          <w:tcPr>
            <w:tcW w:w="5562" w:type="dxa"/>
            <w:vMerge/>
            <w:tcBorders>
              <w:top w:val="single" w:sz="2" w:space="0" w:color="0070C0"/>
              <w:left w:val="single" w:sz="2" w:space="0" w:color="0070C0"/>
              <w:bottom w:val="single" w:sz="2" w:space="0" w:color="0070C0"/>
              <w:right w:val="single" w:sz="2" w:space="0" w:color="0070C0"/>
            </w:tcBorders>
            <w:shd w:val="clear" w:color="auto" w:fill="auto"/>
            <w:vAlign w:val="center"/>
          </w:tcPr>
          <w:p>
            <w:pPr>
              <w:jc w:val="center"/>
              <w:rPr>
                <w:rFonts w:ascii="Calibri" w:hAnsi="Calibri" w:asciiTheme="minorHAnsi" w:hAnsiTheme="minorHAnsi" w:cs="Arial" w:cstheme="minorHAnsi"/>
                <w:b/>
                <w:color w:val="0070C0"/>
                <w:spacing w:val="120"/>
                <w:sz w:val="24"/>
              </w:rPr>
            </w:pPr>
          </w:p>
        </w:tc>
      </w:tr>
      <w:tr w:rsidTr="00C95D93">
        <w:trPr>
          <w:trHeight w:val="328"/>
          <w:jc w:val="center"/>
        </w:trPr>
        <w:tc>
          <w:tcPr>
            <w:tcW w:w="1273" w:type="dxa"/>
            <w:tcBorders>
              <w:top w:val="single" w:sz="2" w:space="0" w:color="0070C0"/>
              <w:left w:val="single" w:sz="2" w:space="0" w:color="0070C0"/>
              <w:bottom w:val="single" w:sz="2" w:space="0" w:color="0070C0"/>
              <w:right w:val="single" w:sz="2" w:space="0" w:color="0070C0"/>
            </w:tcBorders>
            <w:shd w:val="clear" w:color="auto" w:fill="auto"/>
            <w:vAlign w:val="center"/>
          </w:tcPr>
          <w:p>
            <w:pPr>
              <w:rPr>
                <w:rFonts w:ascii="Calibri" w:hAnsi="Calibri" w:asciiTheme="minorHAnsi" w:hAnsiTheme="minorHAnsi" w:cs="Arial" w:cstheme="minorHAnsi"/>
                <w:b/>
                <w:color w:val="0070C0"/>
                <w:sz w:val="18"/>
                <w:szCs w:val="18"/>
              </w:rPr>
            </w:pPr>
            <w:r w:rsidRPr="00EE638F">
              <w:rPr>
                <w:rFonts w:ascii="Calibri" w:hAnsi="Calibri" w:asciiTheme="minorHAnsi" w:hAnsiTheme="minorHAnsi" w:cs="Arial" w:cstheme="minorHAnsi"/>
                <w:b/>
                <w:color w:val="0070C0"/>
                <w:sz w:val="18"/>
                <w:szCs w:val="18"/>
              </w:rPr>
              <w:t xml:space="preserve">Η/Μ Δικ.</w:t>
            </w:r>
          </w:p>
        </w:tc>
        <w:tc>
          <w:tcPr>
            <w:tcW w:w="1985" w:type="dxa"/>
            <w:tcBorders>
              <w:top w:val="single" w:sz="2" w:space="0" w:color="0070C0"/>
              <w:left w:val="single" w:sz="2" w:space="0" w:color="0070C0"/>
              <w:bottom w:val="single" w:sz="2" w:space="0" w:color="0070C0"/>
              <w:right w:val="single" w:sz="2" w:space="0" w:color="0070C0"/>
            </w:tcBorders>
            <w:shd w:val="clear" w:color="auto" w:fill="auto"/>
            <w:vAlign w:val="center"/>
          </w:tcPr>
          <w:p>
            <w:pPr>
              <w:rPr>
                <w:rFonts w:ascii="Calibri" w:hAnsi="Calibri" w:asciiTheme="minorHAnsi" w:hAnsiTheme="minorHAnsi" w:cs="Arial" w:cstheme="minorHAnsi"/>
                <w:b/>
                <w:color w:val="0070C0"/>
                <w:sz w:val="18"/>
                <w:szCs w:val="18"/>
              </w:rPr>
            </w:pPr>
            <w:r w:rsidRPr="00EE638F">
              <w:rPr>
                <w:rFonts w:ascii="Calibri" w:hAnsi="Calibri" w:asciiTheme="minorHAnsi" w:hAnsiTheme="minorHAnsi" w:cs="Arial" w:cstheme="minorHAnsi"/>
                <w:b/>
                <w:color w:val="0070C0"/>
                <w:sz w:val="18"/>
                <w:szCs w:val="18"/>
              </w:rPr>
              <w:t xml:space="preserve">19.1.2023</w:t>
            </w:r>
          </w:p>
        </w:tc>
        <w:tc>
          <w:tcPr>
            <w:tcW w:w="5562" w:type="dxa"/>
            <w:vMerge/>
            <w:tcBorders>
              <w:top w:val="single" w:sz="2" w:space="0" w:color="0070C0"/>
              <w:left w:val="single" w:sz="2" w:space="0" w:color="0070C0"/>
              <w:bottom w:val="single" w:sz="2" w:space="0" w:color="0070C0"/>
              <w:right w:val="single" w:sz="2" w:space="0" w:color="0070C0"/>
            </w:tcBorders>
            <w:shd w:val="clear" w:color="auto" w:fill="auto"/>
            <w:vAlign w:val="center"/>
          </w:tcPr>
          <w:p>
            <w:pPr>
              <w:jc w:val="center"/>
              <w:rPr>
                <w:rFonts w:ascii="Calibri" w:hAnsi="Calibri" w:asciiTheme="minorHAnsi" w:hAnsiTheme="minorHAnsi" w:cs="Arial" w:cstheme="minorHAnsi"/>
                <w:b/>
                <w:color w:val="0070C0"/>
                <w:spacing w:val="120"/>
                <w:sz w:val="24"/>
              </w:rPr>
            </w:pPr>
          </w:p>
        </w:tc>
      </w:tr>
      <w:tr w:rsidTr="00C95D93">
        <w:trPr>
          <w:trHeight w:val="359"/>
          <w:jc w:val="center"/>
        </w:trPr>
        <w:tc>
          <w:tcPr>
            <w:tcW w:w="3258" w:type="dxa"/>
            <w:gridSpan w:val="2"/>
            <w:tcBorders>
              <w:top w:val="single" w:sz="2" w:space="0" w:color="0070C0"/>
              <w:left w:val="nil"/>
              <w:bottom w:val="nil"/>
              <w:right w:val="nil"/>
            </w:tcBorders>
            <w:shd w:val="clear" w:color="auto" w:fill="auto"/>
            <w:vAlign w:val="center"/>
          </w:tcPr>
          <w:p>
            <w:pPr>
              <w:rPr>
                <w:rFonts w:ascii="Calibri" w:hAnsi="Calibri" w:asciiTheme="minorHAnsi" w:hAnsiTheme="minorHAnsi" w:cs="Arial" w:cstheme="minorHAnsi"/>
                <w:b/>
                <w:color w:val="333333"/>
                <w:sz w:val="24"/>
              </w:rPr>
            </w:pPr>
          </w:p>
        </w:tc>
        <w:tc>
          <w:tcPr>
            <w:tcW w:w="5562" w:type="dxa"/>
            <w:tcBorders>
              <w:top w:val="single" w:sz="2" w:space="0" w:color="0070C0"/>
              <w:left w:val="nil"/>
              <w:bottom w:val="nil"/>
              <w:right w:val="nil"/>
            </w:tcBorders>
            <w:shd w:val="clear" w:color="auto" w:fill="auto"/>
            <w:vAlign w:val="center"/>
          </w:tcPr>
          <w:p>
            <w:pPr>
              <w:jc w:val="right"/>
              <w:rPr>
                <w:rFonts w:ascii="Calibri" w:hAnsi="Calibri" w:asciiTheme="minorHAnsi" w:hAnsiTheme="minorHAnsi" w:cs="Arial" w:cstheme="minorHAnsi"/>
                <w:b/>
                <w:color w:val="333333"/>
                <w:spacing w:val="120"/>
                <w:sz w:val="24"/>
              </w:rPr>
            </w:pPr>
          </w:p>
        </w:tc>
      </w:tr>
      <w:tr w:rsidTr="004F0763">
        <w:trPr>
          <w:trHeight w:val="543"/>
          <w:jc w:val="center"/>
        </w:trPr>
        <w:tc>
          <w:tcPr>
            <w:tcW w:w="8820" w:type="dxa"/>
            <w:gridSpan w:val="3"/>
            <w:tcBorders>
              <w:top w:val="nil"/>
              <w:left w:val="nil"/>
              <w:bottom w:val="nil"/>
              <w:right w:val="nil"/>
            </w:tcBorders>
            <w:shd w:val="clear" w:color="auto" w:fill="auto"/>
          </w:tcPr>
          <w:p>
            <w:pPr>
              <w:spacing w:before="240"/>
              <w:jc w:val="center"/>
              <w:rPr>
                <w:rFonts w:ascii="Calibri" w:hAnsi="Calibri" w:asciiTheme="minorHAnsi" w:hAnsiTheme="minorHAnsi" w:cs="Arial" w:cstheme="minorHAnsi"/>
                <w:color w:val="333333"/>
                <w:sz w:val="22"/>
                <w:szCs w:val="22"/>
              </w:rPr>
            </w:pPr>
            <w:r w:rsidRPr="003D5E12">
              <w:rPr>
                <w:rFonts w:ascii="Calibri" w:hAnsi="Calibri" w:asciiTheme="minorHAnsi" w:hAnsiTheme="minorHAnsi" w:cs="Arial" w:cstheme="minorHAnsi"/>
                <w:b/>
                <w:sz w:val="22"/>
                <w:szCs w:val="22"/>
              </w:rPr>
              <w:t xml:space="preserve">Ε ν ώ π ι ο ν</w:t>
            </w:r>
          </w:p>
        </w:tc>
      </w:tr>
      <w:tr w:rsidTr="004F0763">
        <w:trPr>
          <w:trHeight w:val="239"/>
          <w:jc w:val="center"/>
        </w:trPr>
        <w:tc>
          <w:tcPr>
            <w:tcW w:w="8820" w:type="dxa"/>
            <w:gridSpan w:val="3"/>
            <w:tcBorders>
              <w:top w:val="nil"/>
              <w:left w:val="nil"/>
              <w:bottom w:val="nil"/>
              <w:right w:val="nil"/>
            </w:tcBorders>
            <w:shd w:val="clear" w:color="auto" w:fill="auto"/>
          </w:tcPr>
          <w:p>
            <w:pPr>
              <w:spacing w:before="120" w:line="360" w:lineRule="auto"/>
              <w:jc w:val="center"/>
              <w:rPr>
                <w:rFonts w:ascii="Calibri" w:hAnsi="Calibri" w:asciiTheme="minorHAnsi" w:hAnsiTheme="minorHAnsi" w:cs="Arial" w:cstheme="minorHAnsi"/>
                <w:color w:val="333333"/>
                <w:sz w:val="22"/>
                <w:szCs w:val="22"/>
              </w:rPr>
            </w:pPr>
            <w:r w:rsidRPr="003D5E12">
              <w:rPr>
                <w:rFonts w:ascii="Calibri" w:hAnsi="Calibri" w:asciiTheme="minorHAnsi" w:hAnsiTheme="minorHAnsi" w:cs="Arial" w:cstheme="minorHAnsi"/>
                <w:sz w:val="22"/>
                <w:szCs w:val="22"/>
              </w:rPr>
              <w:t xml:space="preserve">του  Τρίτου Τμήματος του Ελεγκτικού Συνεδρίου</w:t>
            </w:r>
          </w:p>
        </w:tc>
      </w:tr>
      <w:tr w:rsidTr="004F0763">
        <w:trPr>
          <w:trHeight w:val="261"/>
          <w:jc w:val="center"/>
        </w:trPr>
        <w:tc>
          <w:tcPr>
            <w:tcW w:w="8820" w:type="dxa"/>
            <w:gridSpan w:val="3"/>
            <w:tcBorders>
              <w:top w:val="nil"/>
              <w:left w:val="nil"/>
              <w:bottom w:val="nil"/>
              <w:right w:val="nil"/>
            </w:tcBorders>
            <w:shd w:val="clear" w:color="auto" w:fill="auto"/>
          </w:tcPr>
          <w:p>
            <w:pPr>
              <w:spacing w:before="240"/>
              <w:jc w:val="center"/>
              <w:rPr>
                <w:rFonts w:ascii="Calibri" w:hAnsi="Calibri" w:asciiTheme="minorHAnsi" w:hAnsiTheme="minorHAnsi" w:cs="Arial" w:cstheme="minorHAnsi"/>
                <w:color w:val="333333"/>
                <w:sz w:val="22"/>
                <w:szCs w:val="22"/>
              </w:rPr>
            </w:pPr>
            <w:r w:rsidRPr="003D5E12">
              <w:rPr>
                <w:rFonts w:ascii="Calibri" w:hAnsi="Calibri" w:asciiTheme="minorHAnsi" w:hAnsiTheme="minorHAnsi" w:cs="Arial" w:cstheme="minorHAnsi"/>
                <w:b/>
                <w:sz w:val="22"/>
                <w:szCs w:val="22"/>
              </w:rPr>
              <w:t xml:space="preserve">Γ ν ώ μ η</w:t>
            </w:r>
          </w:p>
        </w:tc>
      </w:tr>
      <w:tr w:rsidTr="004F0763">
        <w:trPr>
          <w:trHeight w:val="183"/>
          <w:jc w:val="center"/>
        </w:trPr>
        <w:tc>
          <w:tcPr>
            <w:tcW w:w="8820" w:type="dxa"/>
            <w:gridSpan w:val="3"/>
            <w:tcBorders>
              <w:top w:val="nil"/>
              <w:left w:val="nil"/>
              <w:bottom w:val="nil"/>
              <w:right w:val="nil"/>
            </w:tcBorders>
            <w:shd w:val="clear" w:color="auto" w:fill="auto"/>
          </w:tcPr>
          <w:p>
            <w:pPr>
              <w:spacing w:before="120" w:line="360" w:lineRule="auto"/>
              <w:jc w:val="center"/>
              <w:rPr>
                <w:rFonts w:ascii="Calibri" w:hAnsi="Calibri" w:asciiTheme="minorHAnsi" w:hAnsiTheme="minorHAnsi" w:cs="Arial" w:cstheme="minorHAnsi"/>
                <w:color w:val="333333"/>
                <w:sz w:val="22"/>
                <w:szCs w:val="22"/>
              </w:rPr>
            </w:pPr>
            <w:r w:rsidRPr="003D5E12">
              <w:rPr>
                <w:rFonts w:ascii="Calibri" w:hAnsi="Calibri" w:asciiTheme="minorHAnsi" w:hAnsiTheme="minorHAnsi" w:cs="Arial" w:cstheme="minorHAnsi"/>
                <w:sz w:val="22"/>
                <w:szCs w:val="22"/>
              </w:rPr>
              <w:t xml:space="preserve">επί της έφεσης της ***** του *****</w:t>
            </w:r>
          </w:p>
        </w:tc>
      </w:tr>
      <w:tr w:rsidTr="004F0763">
        <w:trPr>
          <w:trHeight w:val="80"/>
          <w:jc w:val="center"/>
        </w:trPr>
        <w:tc>
          <w:tcPr>
            <w:tcW w:w="8820" w:type="dxa"/>
            <w:gridSpan w:val="3"/>
            <w:tcBorders>
              <w:top w:val="nil"/>
              <w:left w:val="nil"/>
              <w:bottom w:val="nil"/>
              <w:right w:val="nil"/>
            </w:tcBorders>
            <w:shd w:val="clear" w:color="auto" w:fill="auto"/>
          </w:tcPr>
          <w:p>
            <w:pPr>
              <w:spacing w:before="240"/>
              <w:jc w:val="center"/>
              <w:rPr>
                <w:rFonts w:ascii="Calibri" w:hAnsi="Calibri" w:asciiTheme="minorHAnsi" w:hAnsiTheme="minorHAnsi" w:cs="Arial" w:cstheme="minorHAnsi"/>
                <w:color w:val="333333"/>
                <w:sz w:val="22"/>
                <w:szCs w:val="22"/>
              </w:rPr>
            </w:pPr>
            <w:r w:rsidRPr="003D5E12">
              <w:rPr>
                <w:rFonts w:ascii="Calibri" w:hAnsi="Calibri" w:asciiTheme="minorHAnsi" w:hAnsiTheme="minorHAnsi" w:cs="Arial" w:cstheme="minorHAnsi"/>
                <w:b/>
                <w:sz w:val="22"/>
                <w:szCs w:val="22"/>
              </w:rPr>
              <w:t xml:space="preserve">κ α τ ά</w:t>
            </w:r>
          </w:p>
        </w:tc>
      </w:tr>
      <w:tr w:rsidTr="004F0763">
        <w:trPr>
          <w:trHeight w:val="170"/>
          <w:jc w:val="center"/>
        </w:trPr>
        <w:tc>
          <w:tcPr>
            <w:tcW w:w="8820" w:type="dxa"/>
            <w:gridSpan w:val="3"/>
            <w:tcBorders>
              <w:top w:val="nil"/>
              <w:left w:val="nil"/>
              <w:bottom w:val="nil"/>
              <w:right w:val="nil"/>
            </w:tcBorders>
            <w:shd w:val="clear" w:color="auto" w:fill="auto"/>
          </w:tcPr>
          <w:p>
            <w:pPr>
              <w:spacing w:before="120" w:line="360" w:lineRule="auto"/>
              <w:jc w:val="center"/>
              <w:rPr>
                <w:rFonts w:ascii="Calibri" w:hAnsi="Calibri" w:asciiTheme="minorHAnsi" w:hAnsiTheme="minorHAnsi" w:cs="Arial" w:cstheme="minorHAnsi"/>
                <w:bCs/>
                <w:sz w:val="22"/>
                <w:szCs w:val="22"/>
              </w:rPr>
            </w:pPr>
            <w:r w:rsidRPr="003D5E12">
              <w:rPr>
                <w:rFonts w:ascii="Calibri" w:hAnsi="Calibri" w:asciiTheme="minorHAnsi" w:hAnsiTheme="minorHAnsi" w:cs="Arial" w:cstheme="minorHAnsi"/>
                <w:bCs/>
                <w:sz w:val="22"/>
                <w:szCs w:val="22"/>
              </w:rPr>
              <w:t xml:space="preserve">του *****</w:t>
            </w:r>
          </w:p>
          <w:p>
            <w:pPr>
              <w:spacing w:line="360" w:lineRule="auto"/>
              <w:jc w:val="center"/>
              <w:rPr>
                <w:rFonts w:ascii="Calibri" w:hAnsi="Calibri" w:asciiTheme="minorHAnsi" w:hAnsiTheme="minorHAnsi" w:cs="Arial" w:cstheme="minorHAnsi"/>
                <w:b/>
                <w:sz w:val="22"/>
                <w:szCs w:val="22"/>
              </w:rPr>
            </w:pPr>
            <w:r w:rsidRPr="003D5E12">
              <w:rPr>
                <w:rFonts w:ascii="Calibri" w:hAnsi="Calibri" w:asciiTheme="minorHAnsi" w:hAnsiTheme="minorHAnsi" w:cs="Arial" w:cstheme="minorHAnsi"/>
                <w:b/>
                <w:sz w:val="22"/>
                <w:szCs w:val="22"/>
              </w:rPr>
              <w:t xml:space="preserve">π ε ρ ί </w:t>
            </w:r>
          </w:p>
          <w:p>
            <w:pPr>
              <w:tabs>
                <w:tab w:val="left" w:pos="2520"/>
              </w:tabs>
              <w:spacing w:line="360" w:lineRule="auto"/>
              <w:jc w:val="both"/>
              <w:rPr>
                <w:rFonts w:ascii="Calibri" w:hAnsi="Calibri" w:asciiTheme="minorHAnsi" w:hAnsiTheme="minorHAnsi" w:cs="Arial" w:cstheme="minorHAnsi"/>
                <w:color w:val="333333"/>
                <w:sz w:val="22"/>
                <w:szCs w:val="22"/>
              </w:rPr>
            </w:pPr>
            <w:r w:rsidRPr="003D5E12">
              <w:rPr>
                <w:rFonts w:ascii="Calibri" w:hAnsi="Calibri" w:asciiTheme="minorHAnsi" w:hAnsiTheme="minorHAnsi" w:cs="Arial" w:cstheme="minorHAnsi"/>
                <w:sz w:val="22"/>
                <w:szCs w:val="22"/>
              </w:rPr>
              <w:t xml:space="preserve">ακύρωσης άλλως μεταρρύθμισης 1. της ***** πράξης της Α΄ Διεύθυνσης Απονομής Συντάξεων &amp; Εφάπαξ ***** Τομέα – Τμήμα Α΄ του Ηλεκτρονικού Εθνικού Φορέα ***** (</w:t>
            </w:r>
            <w:r w:rsidRPr="003D5E12">
              <w:rPr>
                <w:rFonts w:ascii="Calibri" w:hAnsi="Calibri" w:asciiTheme="minorHAnsi" w:hAnsiTheme="minorHAnsi" w:cs="Arial" w:cstheme="minorHAnsi"/>
                <w:sz w:val="22"/>
                <w:szCs w:val="22"/>
                <w:lang w:val="en-US"/>
              </w:rPr>
              <w:t xml:space="preserve">*****</w:t>
            </w:r>
            <w:r w:rsidRPr="003D5E12">
              <w:rPr>
                <w:rFonts w:ascii="Calibri" w:hAnsi="Calibri" w:asciiTheme="minorHAnsi" w:hAnsiTheme="minorHAnsi" w:cs="Arial" w:cstheme="minorHAnsi"/>
                <w:sz w:val="22"/>
                <w:szCs w:val="22"/>
              </w:rPr>
              <w:t xml:space="preserve"> - *****) και 2. κάθε άλλης συναφούς προγενέστερης ή μεταγενέστερης πράξης ή παράλειψης της Διοίκησης με τα αυτά αποτελέσματα.</w:t>
            </w:r>
          </w:p>
        </w:tc>
      </w:tr>
    </w:tbl>
    <w:p>
      <w:pPr>
        <w:spacing w:before="120" w:after="120"/>
        <w:ind w:left="357"/>
        <w:jc w:val="both"/>
        <w:rPr>
          <w:rFonts w:ascii="Calibri" w:hAnsi="Calibri" w:asciiTheme="minorHAnsi" w:hAnsiTheme="minorHAnsi" w:cs="Arial" w:cstheme="minorHAnsi"/>
          <w:color w:val="333333"/>
          <w:sz w:val="22"/>
          <w:szCs w:val="22"/>
        </w:rPr>
      </w:pPr>
    </w:p>
    <w:tbl>
      <w:tblPr>
        <w:tblStyle w:val="TableNormal"/>
        <w:tblW w:w="8881" w:type="dxa"/>
        <w:jc w:val="center"/>
        <w:tblLook w:val="01E0" w:firstRow="1" w:lastRow="1" w:firstColumn="1" w:lastColumn="1" w:noHBand="0" w:noVBand="0"/>
      </w:tblPr>
      <w:tblGrid>
        <w:gridCol w:w="360"/>
        <w:gridCol w:w="8521"/>
      </w:tblGrid>
      <w:tr w:rsidTr="0073573F">
        <w:trPr>
          <w:jc w:val="center"/>
        </w:trPr>
        <w:tc>
          <w:tcPr>
            <w:tcW w:w="360" w:type="dxa"/>
            <w:shd w:val="clear" w:color="auto" w:fill="auto"/>
          </w:tcPr>
          <w:p>
            <w:pPr>
              <w:numPr>
                <w:ilvl w:val="0"/>
                <w:numId w:val="13"/>
              </w:numPr>
              <w:spacing w:after="240" w:line="360" w:lineRule="auto"/>
              <w:ind w:left="0" w:firstLine="0"/>
              <w:jc w:val="both"/>
              <w:rPr>
                <w:rFonts w:ascii="Calibri" w:hAnsi="Calibri" w:asciiTheme="minorHAnsi" w:hAnsiTheme="minorHAnsi" w:cs="Arial" w:cstheme="minorHAnsi"/>
                <w:b/>
                <w:color w:val="333333"/>
                <w:sz w:val="22"/>
                <w:szCs w:val="22"/>
              </w:rPr>
            </w:pPr>
          </w:p>
        </w:tc>
        <w:tc>
          <w:tcPr>
            <w:tcW w:w="8521" w:type="dxa"/>
            <w:shd w:val="clear" w:color="auto" w:fill="auto"/>
          </w:tcPr>
          <w:p>
            <w:pPr>
              <w:spacing w:after="240" w:line="360" w:lineRule="auto"/>
              <w:jc w:val="both"/>
              <w:rPr>
                <w:rFonts w:ascii="Calibri" w:hAnsi="Calibri" w:asciiTheme="minorHAnsi" w:hAnsiTheme="minorHAnsi" w:cs="Arial" w:cstheme="minorHAnsi"/>
                <w:color w:val="333333"/>
                <w:sz w:val="22"/>
                <w:szCs w:val="22"/>
              </w:rPr>
            </w:pPr>
            <w:r w:rsidRPr="003D5E12">
              <w:rPr>
                <w:rFonts w:ascii="Calibri" w:eastAsia="MS Mincho" w:hAnsi="Calibri" w:asciiTheme="minorHAnsi" w:hAnsiTheme="minorHAnsi" w:cs="Arial" w:cstheme="minorHAnsi"/>
                <w:sz w:val="22"/>
                <w:szCs w:val="22"/>
              </w:rPr>
              <w:t xml:space="preserve">Με την υπό κρίση έφεση (ΑΒΔ *****), η εκκαλούσα, πολιτική συνταξιούχος, τέως υπάλληλος του Υπουργείου Πολιτισμού, επιδιώκοντας τον κατ’ αύξηση επανυπολογισμό των συντάξιμων αποδοχών της, ζητεί την ακύρωση άλλως τη μεταρρύθμιση </w:t>
            </w:r>
            <w:r w:rsidRPr="003D5E12">
              <w:rPr>
                <w:rFonts w:ascii="Calibri" w:hAnsi="Calibri" w:asciiTheme="minorHAnsi" w:hAnsiTheme="minorHAnsi" w:cs="Arial" w:cstheme="minorHAnsi"/>
                <w:sz w:val="22"/>
                <w:szCs w:val="22"/>
              </w:rPr>
              <w:t xml:space="preserve">της ***** πράξης της Α΄ Διεύθυνσης Απονομής Συντάξεων &amp; Εφάπαξ ***** Τομέα του </w:t>
            </w:r>
            <w:r w:rsidRPr="003D5E12">
              <w:rPr>
                <w:rFonts w:ascii="Calibri" w:hAnsi="Calibri" w:asciiTheme="minorHAnsi" w:hAnsiTheme="minorHAnsi" w:cs="Arial" w:cstheme="minorHAnsi"/>
                <w:sz w:val="22"/>
                <w:szCs w:val="22"/>
                <w:lang w:val="en-US"/>
              </w:rPr>
              <w:t xml:space="preserve">*****</w:t>
            </w:r>
            <w:r w:rsidRPr="003D5E12">
              <w:rPr>
                <w:rFonts w:ascii="Calibri" w:hAnsi="Calibri" w:asciiTheme="minorHAnsi" w:hAnsiTheme="minorHAnsi" w:cs="Arial" w:cstheme="minorHAnsi"/>
                <w:sz w:val="22"/>
                <w:szCs w:val="22"/>
              </w:rPr>
              <w:t xml:space="preserve">, προκειμένου να προσαυξηθεί αναλόγως το ανταποδοτικό μέρος της σύνταξής της  αφού ληφθούν υπόψη οι κατά τους ισχυρισμούς της αυξημένες εισφορές που κατέβαλε για το συνολικό χρόνο ασφάλισής της στον προγενέστερο φορέα ***** – *****, από 2.9.1982 έως 8.2.2007, κατ’ εφαρμογήν των διατάξεων της παρ. 1 του άρθρου 30 του ν. *****. Η έφεση κατά το μέρος που στρέφεται κατά κάθε άλλης συναφούς προγενέστερης ή μεταγενέστερης πράξης ή παράλειψης της Διοίκησης με τα αυτά αποτελέσματα είναι αόριστη και ανεπίδεκτη δικαστικής εκτίμησης και ως εκ τούτου απορριπτέα. Κατά τα λοιπά η έφεση πρέπει να εξεταστεί περαιτέρω, υπό την προϋπόθεση </w:t>
            </w:r>
            <w:r w:rsidRPr="003D5E12">
              <w:rPr>
                <w:rFonts w:ascii="Calibri" w:hAnsi="Calibri" w:asciiTheme="minorHAnsi" w:hAnsiTheme="minorHAnsi" w:cs="Arial" w:cstheme="minorHAnsi"/>
                <w:bCs/>
                <w:sz w:val="22"/>
                <w:szCs w:val="22"/>
              </w:rPr>
              <w:t xml:space="preserve">της νομιμοποίησης της υπογράφουσας το δικόγραφο πληρεξουσίας δικηγόρου</w:t>
            </w:r>
            <w:r w:rsidRPr="003D5E12">
              <w:rPr>
                <w:rFonts w:ascii="Calibri" w:hAnsi="Calibri" w:asciiTheme="minorHAnsi" w:hAnsiTheme="minorHAnsi" w:cs="Arial" w:cstheme="minorHAnsi"/>
                <w:sz w:val="22"/>
                <w:szCs w:val="22"/>
              </w:rPr>
              <w:t xml:space="preserve">.</w:t>
            </w:r>
          </w:p>
        </w:tc>
      </w:tr>
      <w:tr w:rsidTr="0073573F">
        <w:trPr>
          <w:jc w:val="center"/>
        </w:trPr>
        <w:tc>
          <w:tcPr>
            <w:tcW w:w="360" w:type="dxa"/>
            <w:shd w:val="clear" w:color="auto" w:fill="auto"/>
          </w:tcPr>
          <w:p>
            <w:pPr>
              <w:numPr>
                <w:ilvl w:val="0"/>
                <w:numId w:val="13"/>
              </w:numPr>
              <w:spacing w:after="240" w:line="360" w:lineRule="auto"/>
              <w:ind w:left="0" w:firstLine="0"/>
              <w:jc w:val="both"/>
              <w:rPr>
                <w:rFonts w:ascii="Calibri" w:hAnsi="Calibri" w:asciiTheme="minorHAnsi" w:hAnsiTheme="minorHAnsi" w:cs="Arial" w:cstheme="minorHAnsi"/>
                <w:b/>
                <w:color w:val="333333"/>
                <w:sz w:val="22"/>
                <w:szCs w:val="22"/>
              </w:rPr>
            </w:pPr>
          </w:p>
        </w:tc>
        <w:tc>
          <w:tcPr>
            <w:tcW w:w="8521" w:type="dxa"/>
            <w:shd w:val="clear" w:color="auto" w:fill="auto"/>
          </w:tcPr>
          <w:p>
            <w:pPr>
              <w:spacing w:after="240" w:line="360" w:lineRule="auto"/>
              <w:jc w:val="both"/>
              <w:rPr>
                <w:rFonts w:ascii="Calibri" w:hAnsi="Calibri" w:asciiTheme="minorHAnsi" w:hAnsiTheme="minorHAnsi" w:cs="Arial" w:cstheme="minorHAnsi"/>
                <w:color w:val="333333"/>
                <w:sz w:val="22"/>
                <w:szCs w:val="22"/>
              </w:rPr>
            </w:pPr>
            <w:r w:rsidRPr="003D5E12">
              <w:rPr>
                <w:rFonts w:ascii="Calibri" w:eastAsia="MS Mincho" w:hAnsi="Calibri" w:asciiTheme="minorHAnsi" w:hAnsiTheme="minorHAnsi" w:cs="Arial" w:cstheme="minorHAnsi"/>
                <w:sz w:val="22"/>
                <w:szCs w:val="22"/>
              </w:rPr>
              <w:t xml:space="preserve">Με τις διατάξεις των άρθρων 8 και 14 του ν. ***** (Α΄ 85) και του άρθρου 120 του ν. 4623/2019 (Α΄ 134), μεταβλήθηκε εκ βάθρων το σύστημα υπολογισμού και αναπροσαρμογής των συντάξεων όλων των συνταξιούχων του ***** που δεν πληρούσαν κατά την έναρξη ισχύος του νόμου τις προϋποθέσεις για την άμεση καταβολή της σύνταξής τους (βλ. άρθρο 6 παρ. 1β). Ειδικότερα, η κύρια σύνταξη προκύπτει από το άθροισμα εθνικής και ανταποδοτικής σύνταξης, η πρώτη των οποίων χρηματοδοτείται από τον κρατικό προϋπολογισμό και η δεύτερη, καταρχήν, από τις ασφαλιστικές εισφορές. Η εθνική σύνταξη καθορίζεται, κατά την πρώτη εφαρμογή του νόμου, στο ποσό των 384 ευρώ υπό την προϋπόθεση της πραγματοποίησης χρόνου ασφάλισης τουλάχιστον 20 ετών ή ακόμη και 15 ετών, οπότε παρέχεται μειούμενη κατά 2% για κάθε έτος ασφάλισης που υπολείπεται των 20 ετών (βλ. άρθρο 7 παρ. 6), και καταβάλλεται χωρίς εισοδηματικά κριτήρια, για την καταβολή της δε απαιτείται η θεμελίωση συνταξιοδοτικού δικαιώματος. Η ανταποδοτική σύνταξη προκύπτει από τις συντάξιμες αποδοχές, τον χρόνο ασφάλισης και τα οριζόμενα στο νόμο κατ’ έτος ποσοστά αναπλήρωσης κοινά για κάθε κατηγορία ασφαλισμένων, όπως η παρ. 5 του άρθρου 8 του ν. ***** τροποποιήθηκε με το άρθρο 24 του ν. 4670/2020 (Α΄ 43) και ίσχυε κατά τον κρίσιμο για την υπόθεση χρόνο. Εξάλλου, στο άρθρο 28 του ν. *****</w:t>
            </w:r>
            <w:r w:rsidRPr="003D5E12">
              <w:rPr>
                <w:rFonts w:ascii="Calibri" w:hAnsi="Calibri" w:asciiTheme="minorHAnsi" w:hAnsiTheme="minorHAnsi" w:cs="Arial" w:cstheme="minorHAnsi"/>
                <w:color w:val="000000"/>
                <w:sz w:val="22"/>
                <w:szCs w:val="22"/>
              </w:rPr>
              <w:t xml:space="preserve"> υπό τον τίτλο «Ανταποδοτική σύνταξη», όπως ίσχυε κατά τον κρίσιμο χρόνο, ορίζεται ότι: «</w:t>
            </w:r>
            <w:r w:rsidRPr="003D5E12">
              <w:rPr>
                <w:rFonts w:ascii="Calibri" w:hAnsi="Calibri" w:asciiTheme="minorHAnsi" w:hAnsiTheme="minorHAnsi" w:cs="Arial" w:cstheme="minorHAnsi"/>
                <w:sz w:val="22"/>
                <w:szCs w:val="22"/>
              </w:rPr>
              <w:t xml:space="preserve">1. Οι ασφαλισμένοι κύριας ασφάλισης του Κεφαλαίου αυτού, οι οποίοι θεμελιώνουν δικαίωμα σύνταξης λόγω γήρατος, αναπηρίας ή θανάτου, σύμφωνα με τις οικείες διατάξεις, δικαιούνται ανταποδοτικό μέρος σύνταξης, που προκύπτει με βάση τις συντάξιμες αποδοχές, όπως ορίζονται στο άρθρο αυτό, τον χρόνο ασφάλισης, όπως ορίζεται στο άρθρο 34, και τα κατ` έτος ποσοστά αναπλήρωσης υπολογιζόμενα επί των συντάξιμων αποδοχών του πίνακα 1 και 2 της παραγράφου 5 του άρθρου 8, σύμφωνα με τις ειδικότερες ρυθμίσεις των επόμενων παραγράφων. 2. Ως συντάξιμες αποδοχές για τον υπολογισμό του ανταποδοτικού μέρους σύνταξης κύριας ασφάλισης λόγω γήρατος, αναπηρίας ή θανάτου λαμβάνονται υπόψη: α. Για τους μισθωτούς, ο μέσος όρος μηνιαίων αποδοχών του ασφαλισμένου καθ` όλη τη διάρκεια του ασφαλιστικού βίου του. Ο μέσος όρος υπολογίζεται ως το πηλίκο της διαίρεσης του συνόλου των μηνιαίων αποδοχών του ασφαλισμένου διά του συνολικού χρόνου ασφάλισής του. Ως σύνολο μηνιαίων αποδοχών που έλαβε ο ασφαλισμένος νοείται το άθροισμα των μηνιαίων αποδοχών που υπόκεινται σε εισφορές, καθ` όλη τη διάρκεια του ασφαλιστικού βίου του. (…) 7. Για τον υπολογισμό του ανταποδοτικού μέρους της σύνταξης ως συντάξιμες αποδοχές λαμβάνονται υπόψη οι υπολογιζόμενες σύμφωνα με τις ειδικότερες προβλέψεις του παρόντος άρθρου από το έτος 2002 και έως την υποβολή της αίτησης συνταξιοδότησης. (…)»</w:t>
            </w:r>
            <w:r w:rsidRPr="003D5E12">
              <w:rPr>
                <w:rFonts w:ascii="Calibri" w:eastAsia="MS Mincho" w:hAnsi="Calibri" w:asciiTheme="minorHAnsi" w:hAnsiTheme="minorHAnsi" w:cs="Arial" w:cstheme="minorHAnsi"/>
                <w:sz w:val="22"/>
                <w:szCs w:val="22"/>
              </w:rPr>
              <w:t xml:space="preserve"> και στο άρθρο 30 του ιδίου ως </w:t>
            </w:r>
            <w:r w:rsidRPr="003D5E12">
              <w:rPr>
                <w:rFonts w:ascii="Calibri" w:eastAsia="MS Mincho" w:hAnsi="Calibri" w:asciiTheme="minorHAnsi" w:hAnsiTheme="minorHAnsi" w:cs="Arial" w:cstheme="minorHAnsi"/>
                <w:sz w:val="22"/>
                <w:szCs w:val="22"/>
              </w:rPr>
              <w:t xml:space="preserve">άνω νόμου, όπως εφαρμόζονται </w:t>
            </w:r>
            <w:r w:rsidRPr="003D5E12">
              <w:rPr>
                <w:rFonts w:ascii="Calibri" w:hAnsi="Calibri" w:asciiTheme="minorHAnsi" w:hAnsiTheme="minorHAnsi" w:cs="Arial" w:cstheme="minorHAnsi"/>
                <w:sz w:val="22"/>
                <w:szCs w:val="22"/>
              </w:rPr>
              <w:t xml:space="preserve">σε όσους υποβάλλουν αίτηση συνταξιοδότησης μετά την έναρξη ισχύος του ν. ***** (παρ. 2)</w:t>
            </w:r>
            <w:r w:rsidRPr="003D5E12">
              <w:rPr>
                <w:rFonts w:ascii="Calibri" w:eastAsia="MS Mincho" w:hAnsi="Calibri" w:asciiTheme="minorHAnsi" w:hAnsiTheme="minorHAnsi" w:cs="Arial" w:cstheme="minorHAnsi"/>
                <w:sz w:val="22"/>
                <w:szCs w:val="22"/>
              </w:rPr>
              <w:t xml:space="preserve"> ορίζεται ότι: «1. </w:t>
            </w:r>
            <w:r w:rsidRPr="003D5E12">
              <w:rPr>
                <w:rFonts w:ascii="Calibri" w:hAnsi="Calibri" w:asciiTheme="minorHAnsi" w:hAnsiTheme="minorHAnsi" w:cs="Arial" w:cstheme="minorHAnsi"/>
                <w:sz w:val="22"/>
                <w:szCs w:val="22"/>
              </w:rPr>
              <w:t xml:space="preserve">Στην περίπτωση ασφαλισμένων οι οποίοι, υπό την ισχύ του προϊσχύοντος νομοθετικού καθεστώτος κατέβαλλαν εισφορές ανώτερες από αυτές του *****, το ανταποδοτικό μέρος της σύνταξης για κάθε έτος που έχει καταβληθεί επιπλέον εισφορά, θα υπολογίζεται με ετήσιο συντελεστή αναπλήρωσης 0,075% για καθεμία ποσοστιαία μονάδα (1%) επιπλέον εισφοράς. Ο συντάξιμος μισθός σε αυτή την περίπτωση θα προκύπτει λαμβάνοντας υπόψη τη βάση υπολογισμού της επιπλέον εισφοράς. Οι διατάξεις του άρθρου 28 εφαρμόζονται αναλόγως (…)».</w:t>
            </w:r>
            <w:r w:rsidRPr="003D5E12">
              <w:rPr>
                <w:rFonts w:ascii="Calibri" w:eastAsia="MS Mincho" w:hAnsi="Calibri" w:asciiTheme="minorHAnsi" w:hAnsiTheme="minorHAnsi" w:cs="Arial" w:cstheme="minorHAnsi"/>
                <w:sz w:val="22"/>
                <w:szCs w:val="22"/>
              </w:rPr>
              <w:t xml:space="preserve"> Τέλος με τις διατάξεις της περίπτωσης α΄ της παρ. 2 του άρθρου 24 του ν. 4670/2020 ορίζεται ότι: «</w:t>
            </w:r>
            <w:r w:rsidRPr="003D5E12">
              <w:rPr>
                <w:rFonts w:ascii="Calibri" w:hAnsi="Calibri" w:asciiTheme="minorHAnsi" w:hAnsiTheme="minorHAnsi" w:cs="Arial" w:cstheme="minorHAnsi"/>
                <w:color w:val="000000"/>
                <w:sz w:val="22"/>
                <w:szCs w:val="22"/>
              </w:rPr>
              <w:t xml:space="preserve">Ως συντάξιμες αποδοχές για τον υπολογισμό του ανταποδοτικού μέρους σύνταξης κύριας ασφάλισης εξ ιδίου δικαιώματος, ανικανότητας ή κατά μεταβίβαση λαμβάνεται υπόψη ο μέσος όρος μηνιαίων αποδοχών του ασφαλισμένου καθ' όλη τη διάρκεια του ασφαλιστικού του βίου. Ο μέσος αυτός όρος υπολογίζεται ως το πηλίκο της διαίρεσης του συνόλου των μηνιαίων αποδοχών διά του συνολικού χρόνου ασφάλισής του. Ως σύνολο μηνιαίων αποδοχών που έλαβε ο ασφαλισμένος νοείται το άθροισμα των μηνιαίων αποδοχών που υπόκεινται σε εισφορές, καθ' όλη τη διάρκεια του ασφαλιστικού του βίου. (…)» ενώ στην παρ. 3 του ίδιου άρθρου σημειώνεται ότι: «Για τον υπολογισμό του ανταποδοτικού μέρους της σύνταξης των προσώπων των περιπτώσεων β' και γ' της παραγράφου 1 του άρθρου 6, ως συντάξιμες αποδοχές λαμβάνεται υπόψη ο, σύμφωνα με την περίπτωση α' της παραγράφου 2, μέσος όρος των μηνιαίων αποδοχών, όπως αυτές ισχύουν κατά περίπτωση με βάση τις διατάξεις της ίδιας παραγράφου, που προκύπτει από το ασφαλιστικό έτος 2002 και έως την έναρξη καταβολής της σύνταξης του υπαλλήλου ή λειτουργού του ***** ή του στρατιωτικού. (…)». </w:t>
            </w:r>
          </w:p>
        </w:tc>
      </w:tr>
      <w:tr w:rsidTr="0073573F">
        <w:trPr>
          <w:jc w:val="center"/>
        </w:trPr>
        <w:tc>
          <w:tcPr>
            <w:tcW w:w="360" w:type="dxa"/>
            <w:shd w:val="clear" w:color="auto" w:fill="auto"/>
          </w:tcPr>
          <w:p>
            <w:pPr>
              <w:numPr>
                <w:ilvl w:val="0"/>
                <w:numId w:val="13"/>
              </w:numPr>
              <w:spacing w:after="240" w:line="360" w:lineRule="auto"/>
              <w:ind w:left="0" w:firstLine="0"/>
              <w:jc w:val="both"/>
              <w:rPr>
                <w:rFonts w:ascii="Calibri" w:hAnsi="Calibri" w:asciiTheme="minorHAnsi" w:hAnsiTheme="minorHAnsi" w:cs="Arial" w:cstheme="minorHAnsi"/>
                <w:b/>
                <w:color w:val="333333"/>
                <w:sz w:val="22"/>
                <w:szCs w:val="22"/>
              </w:rPr>
            </w:pPr>
          </w:p>
        </w:tc>
        <w:tc>
          <w:tcPr>
            <w:tcW w:w="8521" w:type="dxa"/>
            <w:shd w:val="clear" w:color="auto" w:fill="auto"/>
          </w:tcPr>
          <w:p>
            <w:pPr>
              <w:spacing w:after="240" w:line="360" w:lineRule="auto"/>
              <w:jc w:val="both"/>
              <w:rPr>
                <w:rFonts w:ascii="Calibri" w:hAnsi="Calibri" w:asciiTheme="minorHAnsi" w:hAnsiTheme="minorHAnsi" w:cs="Arial" w:cstheme="minorHAnsi"/>
                <w:color w:val="333333"/>
                <w:sz w:val="22"/>
                <w:szCs w:val="22"/>
              </w:rPr>
            </w:pPr>
            <w:r w:rsidRPr="003D5E12">
              <w:rPr>
                <w:rFonts w:ascii="Calibri" w:hAnsi="Calibri" w:asciiTheme="minorHAnsi" w:hAnsiTheme="minorHAnsi" w:cs="Arial" w:cstheme="minorHAnsi"/>
                <w:bCs/>
                <w:color w:val="000000"/>
                <w:sz w:val="22"/>
                <w:szCs w:val="22"/>
              </w:rPr>
              <w:t xml:space="preserve">Περαιτέρω με</w:t>
            </w:r>
            <w:r w:rsidRPr="003D5E12">
              <w:rPr>
                <w:rFonts w:ascii="Calibri" w:hAnsi="Calibri" w:asciiTheme="minorHAnsi" w:hAnsiTheme="minorHAnsi" w:cs="Arial" w:cstheme="minorHAnsi"/>
                <w:b/>
                <w:color w:val="000000"/>
                <w:sz w:val="22"/>
                <w:szCs w:val="22"/>
              </w:rPr>
              <w:t xml:space="preserve"> </w:t>
            </w:r>
            <w:r w:rsidRPr="003D5E12">
              <w:rPr>
                <w:rFonts w:ascii="Calibri" w:hAnsi="Calibri" w:asciiTheme="minorHAnsi" w:hAnsiTheme="minorHAnsi" w:cs="Arial" w:cstheme="minorHAnsi"/>
                <w:sz w:val="22"/>
                <w:szCs w:val="22"/>
              </w:rPr>
              <w:t xml:space="preserve">το άρθρο 1 του ν. 3163/1955 (Α΄ 71) καθιερώθηκε, για το τακτικό προσωπικό του *****, το συνταξιοδοτικό καθεστώς που ισχύει για τους δημοσίους υπαλλήλους, ενώ στη συνέχεια επεκτάθηκε το καθεστώς αυτό, με το άρθρο 11 του *****. ***** και στο τακτικό προσωπικό των ***** αρμοδιότητας του *****, το ασφαλιζόμενο μέχρι τότε στον κλάδο σύνταξης του ***** με τις κοινές γι` αυτό διατάξεις και με το άρθρο 1 του ν. 1654/1986, στο τακτικό προσωπικό των *****, το ασφαλιζόμενο επίσης μέχρι τότε στον ίδιο κλάδο σύνταξης του ***** και διεπόμενο από τις διατάξεις του Υπαλληλικού Κώδικα. Περαιτέρω, τα υπαγόμενα στις διατάξεις του ν. 3163/1955, πρόσωπα, ήτοι οι τακτικοί υπάλληλοι του ***** και των λοιπών *****, κατέβαλλαν, αρχικά, την προβλεπόμενη στο άρθρο 36 του *****. 4242/1962 (Α΄ 135) ατομική εισφορά κλάδου κύριας σύνταξης, η οποία, όμως, με τη διάταξη του άρθρου 2 του *****. 78/1973, από </w:t>
            </w:r>
            <w:r w:rsidRPr="003D5E12">
              <w:rPr>
                <w:rFonts w:ascii="Calibri" w:hAnsi="Calibri" w:asciiTheme="minorHAnsi" w:hAnsiTheme="minorHAnsi" w:cs="Arial" w:cstheme="minorHAnsi"/>
                <w:sz w:val="22"/>
                <w:szCs w:val="22"/>
              </w:rPr>
              <w:t xml:space="preserve">την πρώτη ημέρα δημοσίευσης αυτού του *****. (ήτοι από 1.9.1973) αναλήφθηκε από το οικείο *****. Το παραπάνω καθεστώς συνεχίσθηκε μέχρι την κατάργησή του με τις διατάξεις, αρχικά των άρθρων 6 παρ. 1 και 2 και 9 παρ. 3 του ν. 1902/1990 και στη συνέχεια των άρθρων 17 και 20 παρ. 2 του ν. 2084/1992, με τις οποίες επιβλήθηκε από 1.1.1993 στους μονίμους δημοσίους υπαλλήλους μηνιαία εισφορά κλάδου κύριας σύνταξης, ίση με την ισχύουσα κάθε φορά για τους υπαγόμενους στη κοινή ασφάλιση του *****. Η εισφορά αυτή επιβλήθηκε από την παραπάνω ημερομηνία και στις αποδοχές των υπαλλήλων των ***** σύμφωνα με την παρ. 5 του άρθρου 18 και την παρ. 10 του άρθρου 20 του ν. 2084/1992, με τις οποίες επεκτάθηκε η εφαρμογή των διατάξεων των προηγουμένων άρθρων και στους υπαλλήλους των ΟΤΑ και των άλλων ***** που διέπονται από το ίδιο με τους δημοσίους υπαλλήλους συνταξιοδοτικό καθεστώς, είτε οι συντάξεις τους βαρύνουν το *****, είτε άλλους φορείς. Τελικά, η μηνιαία κράτηση υπέρ του κλάδου σύνταξης της παρ. 2 του άρθρου 20 του ν. 2084/1992 για τους υπαλλήλους ***** που υπήχθησαν στην ασφάλιση του ***** μέχρι 31.12.1992, η οποία επιβάρυνε εξολοκλήρου (κατά τα προεκτεθέντα) τον εργοδότη και ανερχόταν μέχρι και την 31.12.2016 σε ποσοστό 32% επιμεριζόταν: α) από 1.1.1993 σε 3% για τον ασφαλισμένο και σε 29% για τον εργοδότη *****, β) από 1.1.1994 σε 5% για τον ασφαλισμένο και σε 27% για τον εργοδότη ***** και τέλος από 1.1.1995 σε 6,67% για τον ασφαλισμένο και σε 25,33% για τον εργοδότη *****. Περαιτέρω, ο ν. ***** ορίζει, τόσο για τους δημοσίους υπαλλήλους και στρατιωτικούς (άρθρο 8 παρ. 2), όσο και για ασφαλισμένους του ιδιωτικού τομέα (άρθρο 28 παρ. 2 περ. α΄, εδάφιο τρίτο) ότι ως «συντάξιμες αποδοχές» για τον υπολογισμό του ανταποδοτικού μέρους της σύνταξης λαμβάνεται υπόψη το υποκείμενο σε εισφορές άθροισμα των μηνιαίων σε όλη τη διάρκεια του ασφαλιστικού βίου αποδοχών. Κατ’ αυτό τον τρόπο εξασφαλίζεται ο σύνδεσμος μεταξύ εισφορών, παροχών και εισοδήματος και, συνακόλουθα, η ισότιμη αντιμετώπιση των ασφαλισμένων, με βάση τις αρχές της ισονομίας και της ανταποδοτικότητας, χωρίς ευμενή μεταχείριση ειδικών κατηγοριών. Οι συντάξιμες αποδοχές καθορίζονται ανάλογα με την κατηγορία στην οποία ανήκει ο ασφαλισμένος. Ακολούθως, το πεδίο εφαρμογής των διατάξεων του άρθρου 30 του ν. *****, οι οποίες διέπονται από την αρχή της ανταποδοτικότητας των εισφορών, καταλαμβάνει άπαντες αδιακρίτως τους ασφαλισμένους, οι οποίοι υπό την ισχύ του προηγούμενου του ν. ***** συνταξιοδοτικού καθεστώτος κατέβαλλαν υψηλότερες ασφαλιστικές εισφορές σε σχέση με αυτές που προβλέπονταν υπέρ του *****. Κατά τον υπολογισμό του ανταποδοτικού μέρους της σύνταξής τους, με τις διατάξεις του άρθρου 30 του ν. ***** προβλέπεται και ετήσιος συντελεστής αναπλήρωσης 0,075% για κάθε ποσοστιαία μονάδα (1%) επιπλέον εισφοράς σε κάθε έτος </w:t>
            </w:r>
            <w:r w:rsidRPr="003D5E12">
              <w:rPr>
                <w:rFonts w:ascii="Calibri" w:hAnsi="Calibri" w:asciiTheme="minorHAnsi" w:hAnsiTheme="minorHAnsi" w:cs="Arial" w:cstheme="minorHAnsi"/>
                <w:sz w:val="22"/>
                <w:szCs w:val="22"/>
              </w:rPr>
              <w:t xml:space="preserve">που έχει καταβληθεί επί πλέον εισφορά. Με τις διατάξεις αυτές ο νομοθέτης δίνει έμφαση στο θέμα της καταβολής εισφορών επί των αποδοχών που λαμβάνονται υπόψη για τον υπολογισμό της ανταποδοτικής σύνταξης, προκειμένου να γίνεται αντιληπτός ο διαχωρισμός της φύσης των δύο τμημάτων της σύνταξης. Και η μεν εθνική σύνταξη αποτελεί την κρατική χρηματοδότηση του δημοσίου συστήματος κοινωνικής ασφάλισης, η δε ανταποδοτική αποτελεί την παροχή που προέρχεται από τη συνεισφορά του ασφαλισμένου στο συνταξιοδοτικό σύστημα. Οι διατάξεις του άρθρου 30 του ν. ***** είναι ειδικές κατά την έννοια του άρθρου 27 του ίδιου νόμου, αφού ρυθμίζουν το ειδικό θέμα της προσαύξησης της σύνταξης των ασφαλισμένων, οι οποίοι, υπό την ισχύ του προηγούμενου νομοθετικού καθεστώτος κατέβαλλαν πράγματι υψηλότερες ασφαλιστικές εισφορές σε σχέση με αυτές που προβλέπονταν υπέρ του *****</w:t>
            </w:r>
            <w:r w:rsidRPr="003D5E12">
              <w:rPr>
                <w:rFonts w:ascii="Calibri" w:hAnsi="Calibri" w:asciiTheme="minorHAnsi" w:hAnsiTheme="minorHAnsi" w:cs="Arial" w:cstheme="minorHAnsi"/>
                <w:color w:val="000000"/>
                <w:sz w:val="22"/>
                <w:szCs w:val="22"/>
              </w:rPr>
              <w:t xml:space="preserve"> (βλ. ΝΣΚ *****).</w:t>
            </w:r>
          </w:p>
        </w:tc>
      </w:tr>
      <w:tr w:rsidTr="0073573F">
        <w:trPr>
          <w:jc w:val="center"/>
        </w:trPr>
        <w:tc>
          <w:tcPr>
            <w:tcW w:w="360" w:type="dxa"/>
            <w:shd w:val="clear" w:color="auto" w:fill="auto"/>
          </w:tcPr>
          <w:p>
            <w:pPr>
              <w:numPr>
                <w:ilvl w:val="0"/>
                <w:numId w:val="13"/>
              </w:numPr>
              <w:spacing w:after="240" w:line="360" w:lineRule="auto"/>
              <w:ind w:left="0" w:firstLine="0"/>
              <w:jc w:val="both"/>
              <w:rPr>
                <w:rFonts w:ascii="Calibri" w:hAnsi="Calibri" w:asciiTheme="minorHAnsi" w:hAnsiTheme="minorHAnsi" w:cs="Arial" w:cstheme="minorHAnsi"/>
                <w:b/>
                <w:color w:val="333333"/>
                <w:sz w:val="22"/>
                <w:szCs w:val="22"/>
              </w:rPr>
            </w:pPr>
          </w:p>
        </w:tc>
        <w:tc>
          <w:tcPr>
            <w:tcW w:w="8521" w:type="dxa"/>
            <w:shd w:val="clear" w:color="auto" w:fill="auto"/>
          </w:tcPr>
          <w:p>
            <w:pPr>
              <w:spacing w:after="240" w:line="360" w:lineRule="auto"/>
              <w:jc w:val="both"/>
              <w:rPr>
                <w:rFonts w:ascii="Calibri" w:hAnsi="Calibri" w:asciiTheme="minorHAnsi" w:hAnsiTheme="minorHAnsi" w:cs="Arial" w:cstheme="minorHAnsi"/>
                <w:color w:val="333333"/>
                <w:sz w:val="22"/>
                <w:szCs w:val="22"/>
              </w:rPr>
            </w:pPr>
            <w:r w:rsidRPr="003D5E12">
              <w:rPr>
                <w:rFonts w:ascii="Calibri" w:hAnsi="Calibri" w:asciiTheme="minorHAnsi" w:hAnsiTheme="minorHAnsi" w:cs="Arial" w:cstheme="minorHAnsi"/>
                <w:color w:val="000000"/>
                <w:sz w:val="22"/>
                <w:szCs w:val="22"/>
              </w:rPr>
              <w:t xml:space="preserve">Στην προκειμένη υπόθεση, από το σύνολο των στοιχείων του φακέλου προκύπτουν τα εξής: Με την </w:t>
            </w:r>
            <w:r w:rsidRPr="003D5E12">
              <w:rPr>
                <w:rFonts w:ascii="Calibri" w:hAnsi="Calibri" w:asciiTheme="minorHAnsi" w:hAnsiTheme="minorHAnsi" w:cs="Arial" w:cstheme="minorHAnsi"/>
                <w:sz w:val="22"/>
                <w:szCs w:val="22"/>
              </w:rPr>
              <w:t xml:space="preserve">*****/***** πράξη της Α΄ Διεύθυνσης Απονομής Συντάξεων &amp; Εφάπαξ ***** Τομέα του </w:t>
            </w:r>
            <w:r w:rsidRPr="003D5E12">
              <w:rPr>
                <w:rFonts w:ascii="Calibri" w:hAnsi="Calibri" w:asciiTheme="minorHAnsi" w:hAnsiTheme="minorHAnsi" w:cs="Arial" w:cstheme="minorHAnsi"/>
                <w:sz w:val="22"/>
                <w:szCs w:val="22"/>
                <w:lang w:val="en-US"/>
              </w:rPr>
              <w:t xml:space="preserve">*****</w:t>
            </w:r>
            <w:r w:rsidRPr="003D5E12">
              <w:rPr>
                <w:rFonts w:ascii="Calibri" w:hAnsi="Calibri" w:asciiTheme="minorHAnsi" w:hAnsiTheme="minorHAnsi" w:cs="Arial" w:cstheme="minorHAnsi"/>
                <w:sz w:val="22"/>
                <w:szCs w:val="22"/>
              </w:rPr>
              <w:t xml:space="preserve">-***** κανονίστηκε σύνταξη στην εκκαλούσα, πρώην υπάλληλο στο Υπουργείο Πολιτισμού, πληρωτέα από 1.1.2020, βάσει της συνολικής συντάξιμης υπηρεσίας της από έτη 41-05-12, στην οποία συμπεριλαμβάνονται χρόνος υπηρεσίας της: α) στον ιδιωτικό τομέα κατά το χρονικό διάστημα από 12.1.1972 έως 2.7.1982 κατά τον οποίο πραγματοποίησε 1331 ημερομίσθια (έτη 04-05-07, βλ. την ***** πράξη αναγνώρισης υπηρεσίας ως συντάξιμης), β) ως τακτικής υπαλλήλου του κλάδου ΜΕ1 Γραφέων – Δακτυλογράφων στον ***** (*****, υπό την ασφάλιση του ***** – ΕΤΑΜ, βλ. ΕλΣυν ΙΙ Τμ. *****) από 2.9.1982 έως 8.2.2007 (ήτοι από έτη 24-05-07) και γ) στο *****, όπου μετατάχθηκε, ως τακτική υπάλληλος στον κλάδο ΔΕ Διοικητικών Γραμματέων από 9.2.2007 έως 20.12.2010 (έτη *****) και από 15.4.2011 (κατόπιν επαναφοράς της στην Υπηρεσία λόγω μη θεμελίωσης συνταξιοδοτικού δικαιώματος συνεπεία ουσιώδους πλάνης) έως 31.12.2019. Εξάλλου, σύμφωνα με τις «Παρατηρήσεις» της προσβαλλόμενης πράξης, η σύνταξη της εκκαλούσας κανονίστηκε στο ποσό των 1.155,30 ευρώ αποτελούμενη από το ποσό των 384,00 ευρώ ως «Εθνική Σύνταξη» και το ποσό των 771,30 ευρώ ως «Ανταποδοτική Σύνταξη». </w:t>
            </w:r>
            <w:r w:rsidRPr="003D5E12">
              <w:rPr>
                <w:rFonts w:ascii="Calibri" w:hAnsi="Calibri" w:asciiTheme="minorHAnsi" w:hAnsiTheme="minorHAnsi" w:cs="Arial" w:cstheme="minorHAnsi"/>
                <w:color w:val="000000"/>
                <w:sz w:val="22"/>
                <w:szCs w:val="22"/>
              </w:rPr>
              <w:t xml:space="preserve">Ειδικότερα, για τον υπολογισμό της ανταποδοτικής σύνταξης, ως συντάξιμες αποδοχές, λήφθηκε υπόψη ο μέσος όρος των μηνιαίων αποδοχών της εκκαλούσας της χρονικής περιόδου από τον 1</w:t>
            </w:r>
            <w:r w:rsidRPr="003D5E12">
              <w:rPr>
                <w:rFonts w:ascii="Calibri" w:hAnsi="Calibri" w:asciiTheme="minorHAnsi" w:hAnsiTheme="minorHAnsi" w:cs="Arial" w:cstheme="minorHAnsi"/>
                <w:color w:val="000000"/>
                <w:sz w:val="22"/>
                <w:szCs w:val="22"/>
                <w:vertAlign w:val="superscript"/>
              </w:rPr>
              <w:t xml:space="preserve">ο</w:t>
            </w:r>
            <w:r w:rsidRPr="003D5E12">
              <w:rPr>
                <w:rFonts w:ascii="Calibri" w:hAnsi="Calibri" w:asciiTheme="minorHAnsi" w:hAnsiTheme="minorHAnsi" w:cs="Arial" w:cstheme="minorHAnsi"/>
                <w:color w:val="000000"/>
                <w:sz w:val="22"/>
                <w:szCs w:val="22"/>
              </w:rPr>
              <w:t xml:space="preserve">/2002 έως 31.12.2019, </w:t>
            </w:r>
            <w:r w:rsidRPr="003D5E12">
              <w:rPr>
                <w:rFonts w:ascii="Calibri" w:eastAsia="MS Mincho" w:hAnsi="Calibri" w:asciiTheme="minorHAnsi" w:hAnsiTheme="minorHAnsi" w:cs="Arial" w:cstheme="minorHAnsi"/>
                <w:sz w:val="22"/>
                <w:szCs w:val="22"/>
              </w:rPr>
              <w:t xml:space="preserve">αφαιρουμένου του χρονικού διαστήματος από 21.12.2010 έως 14.4.2011 (από έτη 00-03-23) λόγω μη παρασχεθείσης πραγματικής δημόσιας υπηρεσίας, </w:t>
            </w:r>
            <w:r w:rsidRPr="003D5E12">
              <w:rPr>
                <w:rFonts w:ascii="Calibri" w:hAnsi="Calibri" w:asciiTheme="minorHAnsi" w:hAnsiTheme="minorHAnsi" w:cs="Arial" w:cstheme="minorHAnsi"/>
                <w:color w:val="000000"/>
                <w:sz w:val="22"/>
                <w:szCs w:val="22"/>
              </w:rPr>
              <w:t xml:space="preserve">ποσού 1.520,10 ευρώ, το οποίο συνιστούσε το πηλίκο της διαίρεσης των επικαιροποιημένων συντάξιμων αποδοχών της τής περιόδου αυτής, ύψους 322.058,37 ευρώ δια τον εν λόγω χρόνο ασφάλισης των 211,86666 </w:t>
            </w:r>
            <w:r w:rsidRPr="003D5E12">
              <w:rPr>
                <w:rFonts w:ascii="Calibri" w:hAnsi="Calibri" w:asciiTheme="minorHAnsi" w:hAnsiTheme="minorHAnsi" w:cs="Arial" w:cstheme="minorHAnsi"/>
                <w:color w:val="000000"/>
                <w:sz w:val="22"/>
                <w:szCs w:val="22"/>
              </w:rPr>
              <w:t xml:space="preserve">μηνών,</w:t>
            </w:r>
            <w:r w:rsidRPr="003D5E12">
              <w:rPr>
                <w:rFonts w:ascii="Calibri" w:hAnsi="Calibri" w:asciiTheme="minorHAnsi" w:hAnsiTheme="minorHAnsi" w:cs="Arial" w:cstheme="minorHAnsi"/>
                <w:sz w:val="22"/>
                <w:szCs w:val="22"/>
              </w:rPr>
              <w:t xml:space="preserve"> σύμφωνα με τη συνημμένη εκτύπωση του σχετικού Πίνακα Αποδοχών Ν. *****, του </w:t>
            </w:r>
            <w:r w:rsidRPr="003D5E12">
              <w:rPr>
                <w:rFonts w:ascii="Calibri" w:hAnsi="Calibri" w:asciiTheme="minorHAnsi" w:hAnsiTheme="minorHAnsi" w:cs="Arial" w:cstheme="minorHAnsi"/>
                <w:sz w:val="22"/>
                <w:szCs w:val="22"/>
                <w:lang w:val="en-US"/>
              </w:rPr>
              <w:t xml:space="preserve">*****</w:t>
            </w:r>
            <w:r w:rsidRPr="003D5E12">
              <w:rPr>
                <w:rFonts w:ascii="Calibri" w:hAnsi="Calibri" w:asciiTheme="minorHAnsi" w:hAnsiTheme="minorHAnsi" w:cs="Arial" w:cstheme="minorHAnsi"/>
                <w:sz w:val="22"/>
                <w:szCs w:val="22"/>
              </w:rPr>
              <w:t xml:space="preserve">-*****</w:t>
            </w:r>
            <w:r w:rsidRPr="003D5E12">
              <w:rPr>
                <w:rFonts w:ascii="Calibri" w:hAnsi="Calibri" w:asciiTheme="minorHAnsi" w:hAnsiTheme="minorHAnsi" w:cs="Arial" w:cstheme="minorHAnsi"/>
                <w:color w:val="000000"/>
                <w:sz w:val="22"/>
                <w:szCs w:val="22"/>
              </w:rPr>
              <w:t xml:space="preserve">, </w:t>
            </w:r>
            <w:r w:rsidRPr="003D5E12">
              <w:rPr>
                <w:rFonts w:ascii="Calibri" w:hAnsi="Calibri" w:asciiTheme="minorHAnsi" w:hAnsiTheme="minorHAnsi" w:cs="Arial" w:cstheme="minorHAnsi"/>
                <w:sz w:val="22"/>
                <w:szCs w:val="22"/>
              </w:rPr>
              <w:t xml:space="preserve">επί το ποσοστό αναπλήρωσης 50,74%, βάσει των σχετικών ποσοστών αναπλήρωσης του Πίνακα 2 των άρθρου 24 και 32 του ν. 4670/2020, που αντιστοιχεί σε παρασχεθείσα υπηρεσία από έτη 41-05-12</w:t>
            </w:r>
            <w:r w:rsidRPr="003D5E12">
              <w:rPr>
                <w:rFonts w:ascii="Calibri" w:eastAsia="MS Mincho" w:hAnsi="Calibri" w:asciiTheme="minorHAnsi" w:hAnsiTheme="minorHAnsi" w:cs="Arial" w:cstheme="minorHAnsi"/>
                <w:sz w:val="22"/>
                <w:szCs w:val="22"/>
              </w:rPr>
              <w:t xml:space="preserve">. Ήδη με την ένδικη έφεση, κατ’ ορθή εκτίμηση του περιεχομένου αυτής, η εκκαλούσα, επιδιώκοντας τον κατ’ αύξηση επανυπολογισμό των συντάξιμων αποδοχών της, ζητεί την ακύρωση άλλως τη μεταρρύθμιση της </w:t>
            </w:r>
            <w:r w:rsidRPr="003D5E12">
              <w:rPr>
                <w:rFonts w:ascii="Calibri" w:hAnsi="Calibri" w:asciiTheme="minorHAnsi" w:hAnsiTheme="minorHAnsi" w:cs="Arial" w:cstheme="minorHAnsi"/>
                <w:sz w:val="22"/>
                <w:szCs w:val="22"/>
              </w:rPr>
              <w:t xml:space="preserve">***** πράξης κανονισμού της σύνταξής της, ισχυριζόμενη ότι για τον υπολογισμό του ανταποδοτικού μέρους της σύνταξής της πρέπει να ληφθούν υπόψη και οι αποδοχές που ελάμβανε για το προ του 2002 χρονικό διάστημα υπό την ασφάλιση του προγενέστερου φορέα *****-*****, σύμφωνα με την παρ. 1 του </w:t>
            </w:r>
            <w:r w:rsidRPr="003D5E12">
              <w:rPr>
                <w:rFonts w:ascii="Calibri" w:eastAsia="MS Mincho" w:hAnsi="Calibri" w:asciiTheme="minorHAnsi" w:hAnsiTheme="minorHAnsi" w:cs="Arial" w:cstheme="minorHAnsi"/>
                <w:sz w:val="22"/>
                <w:szCs w:val="22"/>
              </w:rPr>
              <w:t xml:space="preserve">άρθρου 30 του ν. *****, </w:t>
            </w:r>
            <w:r w:rsidRPr="003D5E12">
              <w:rPr>
                <w:rFonts w:ascii="Calibri" w:hAnsi="Calibri" w:asciiTheme="minorHAnsi" w:hAnsiTheme="minorHAnsi" w:cs="Arial" w:cstheme="minorHAnsi"/>
                <w:sz w:val="22"/>
                <w:szCs w:val="22"/>
              </w:rPr>
              <w:t xml:space="preserve">κατά το οποίο μάλιστα, όπως η ίδια ισχυρίζεται κατέβαλε αυξημένες ασφαλιστικές εισφορές, και όχι μόνο το χρονικό διάστημα από το έτος 2002 και εντεύθεν. Επιπροσθέτως, ισχυρίζεται ότι η προσαύξηση ισχύει για το σύνολο των ετών που έχουν καταβληθεί οι επιπλέον εισφορές ήτοι ανατρέχει στο σύνολο του εργασιακού βίου κάθε ασφαλισμένου κι όχι για το διάστημα από το 2002 και εντεύθεν που ισχύει για τον υπολογισμό του μέσου όρου των συντάξιμων αποδοχών. Ειδικότερα κατά τους ισχυρισμούς της εκκαλούσας κατά τον υπολογισμό του ανταποδοτικού μέρους της σύνταξης δεν ελήφθη υπόψιν επιπλέον συντελεστής αναπλήρωσης για τις 293,35 ποσοστιαίες μονάδες επιπλέον εισφοράς ήτοι για το χρονικό διάστημα από 2.9.1982 έως 8.2.2007 (0,75% Χ 293,35 Χ 24,35 Χ 1.520,10 = 82,43).</w:t>
            </w:r>
          </w:p>
        </w:tc>
      </w:tr>
      <w:tr w:rsidTr="0073573F">
        <w:trPr>
          <w:jc w:val="center"/>
        </w:trPr>
        <w:tc>
          <w:tcPr>
            <w:tcW w:w="360" w:type="dxa"/>
            <w:shd w:val="clear" w:color="auto" w:fill="auto"/>
          </w:tcPr>
          <w:p>
            <w:pPr>
              <w:numPr>
                <w:ilvl w:val="0"/>
                <w:numId w:val="13"/>
              </w:numPr>
              <w:spacing w:after="240" w:line="360" w:lineRule="auto"/>
              <w:ind w:left="0" w:firstLine="0"/>
              <w:jc w:val="both"/>
              <w:rPr>
                <w:rFonts w:ascii="Calibri" w:hAnsi="Calibri" w:asciiTheme="minorHAnsi" w:hAnsiTheme="minorHAnsi" w:cs="Arial" w:cstheme="minorHAnsi"/>
                <w:b/>
                <w:color w:val="333333"/>
                <w:sz w:val="22"/>
                <w:szCs w:val="22"/>
              </w:rPr>
            </w:pPr>
          </w:p>
        </w:tc>
        <w:tc>
          <w:tcPr>
            <w:tcW w:w="8521" w:type="dxa"/>
            <w:shd w:val="clear" w:color="auto" w:fill="auto"/>
          </w:tcPr>
          <w:p>
            <w:pPr>
              <w:spacing w:after="240" w:line="360" w:lineRule="auto"/>
              <w:jc w:val="both"/>
              <w:rPr>
                <w:rFonts w:ascii="Calibri" w:hAnsi="Calibri" w:asciiTheme="minorHAnsi" w:hAnsiTheme="minorHAnsi" w:cs="Arial" w:cstheme="minorHAnsi"/>
                <w:color w:val="333333"/>
                <w:sz w:val="22"/>
                <w:szCs w:val="22"/>
              </w:rPr>
            </w:pPr>
            <w:r w:rsidRPr="003D5E12">
              <w:rPr>
                <w:rFonts w:ascii="Calibri" w:hAnsi="Calibri" w:asciiTheme="minorHAnsi" w:hAnsiTheme="minorHAnsi" w:cs="Arial" w:cstheme="minorHAnsi"/>
                <w:bCs/>
                <w:sz w:val="22"/>
                <w:szCs w:val="22"/>
              </w:rPr>
              <w:t xml:space="preserve">Με τα δεδομένα αυτά και σύμφωνα με όσα προεκτέθηκαν, η σύνταξη της εκκαλούσας είναι καταρχάς υπολογιστέα κατ’ εφαρμογήν των διατάξεων του  ν. 4670/2020, σύμφωνα με τις </w:t>
            </w:r>
            <w:r w:rsidRPr="003D5E12">
              <w:rPr>
                <w:rFonts w:ascii="Calibri" w:hAnsi="Calibri" w:asciiTheme="minorHAnsi" w:hAnsiTheme="minorHAnsi" w:cs="Arial" w:cstheme="minorHAnsi"/>
                <w:sz w:val="22"/>
                <w:szCs w:val="22"/>
              </w:rPr>
              <w:t xml:space="preserve">μηνιαίες ασφαλιστέες αποδοχές της για το χρονικό διάστημα από το </w:t>
            </w:r>
            <w:r w:rsidRPr="003D5E12">
              <w:rPr>
                <w:rFonts w:ascii="Calibri" w:hAnsi="Calibri" w:asciiTheme="minorHAnsi" w:hAnsiTheme="minorHAnsi" w:cs="Arial" w:cstheme="minorHAnsi"/>
                <w:color w:val="000000"/>
                <w:sz w:val="22"/>
                <w:szCs w:val="22"/>
              </w:rPr>
              <w:t xml:space="preserve">έτος 2002 έως την 31</w:t>
            </w:r>
            <w:r w:rsidRPr="003D5E12">
              <w:rPr>
                <w:rFonts w:ascii="Calibri" w:hAnsi="Calibri" w:asciiTheme="minorHAnsi" w:hAnsiTheme="minorHAnsi" w:cs="Arial" w:cstheme="minorHAnsi"/>
                <w:color w:val="000000"/>
                <w:sz w:val="22"/>
                <w:szCs w:val="22"/>
                <w:vertAlign w:val="superscript"/>
              </w:rPr>
              <w:t xml:space="preserve">η</w:t>
            </w:r>
            <w:r w:rsidRPr="003D5E12">
              <w:rPr>
                <w:rFonts w:ascii="Calibri" w:hAnsi="Calibri" w:asciiTheme="minorHAnsi" w:hAnsiTheme="minorHAnsi" w:cs="Arial" w:cstheme="minorHAnsi"/>
                <w:color w:val="000000"/>
                <w:sz w:val="22"/>
                <w:szCs w:val="22"/>
              </w:rPr>
              <w:t xml:space="preserve">.12.2019</w:t>
            </w:r>
            <w:r w:rsidRPr="003D5E12">
              <w:rPr>
                <w:rFonts w:ascii="Calibri" w:hAnsi="Calibri" w:asciiTheme="minorHAnsi" w:hAnsiTheme="minorHAnsi" w:cs="Arial" w:cstheme="minorHAnsi"/>
                <w:bCs/>
                <w:sz w:val="22"/>
                <w:szCs w:val="22"/>
              </w:rPr>
              <w:t xml:space="preserve">. Εξάλλου, κατά το διάστημα από 2.9.1982 έως και 8.2.2007, η εκκαλούσα ως υπάλληλος του ***** ήταν ασφαλισμένη στο ***** – ΕΤΑΜ και ενδεχομένως κατέβαλε αυξημένες εισφορές ποσοστού 32%, οι οποίες και δύναται να επηρεάσουν το ανταποδοτικό μέρος της σύνταξής της. </w:t>
            </w:r>
            <w:r w:rsidRPr="003D5E12">
              <w:rPr>
                <w:rFonts w:ascii="Calibri" w:hAnsi="Calibri" w:asciiTheme="minorHAnsi" w:hAnsiTheme="minorHAnsi" w:cs="Arial" w:cstheme="minorHAnsi"/>
                <w:color w:val="000000"/>
                <w:sz w:val="22"/>
                <w:szCs w:val="22"/>
              </w:rPr>
              <w:t xml:space="preserve">Περαιτέρω, δεδομένου αφενός ότι η συσχέτιση του ανταποδοτικού μέρους της σύνταξης με το εισόδημα του ασφαλισμένου, κατ’ αρχήν, καθ’ όλη τη διάρκεια του ασφαλιστικού του βίου εγγυάται την ισότιμη αντιμετώπιση των ασφαλισμένων βάσει των αρχών της ισονομίας και της ανταποδοτικότητας (βλ. άρθρο 8 παρ. 2 του ν. ***** σύμφωνα με το οποίο οι συντάξιμες αποδοχές προκύπτουν από το μέσο όρο των μηνιαίων αποδοχών του ασφαλισμένου σε όλη τη διάρκεια του ασφαλιστικού του βίου) και αφετέρου ότι η νομοθετική πρόβλεψη του άρθρου 28 παρ. 3 του ν. *****, που περιόρισε τις συντάξιμες αποδοχές που λαμβάνονται υπόψη για τον υπολογισμό της ανταποδοτικής σύνταξης, σ’ αυτές που προκύπτουν από το έτος 2002 και έως την υποβολή της αίτησης </w:t>
            </w:r>
            <w:r w:rsidRPr="003D5E12">
              <w:rPr>
                <w:rFonts w:ascii="Calibri" w:hAnsi="Calibri" w:asciiTheme="minorHAnsi" w:hAnsiTheme="minorHAnsi" w:cs="Arial" w:cstheme="minorHAnsi"/>
                <w:color w:val="000000"/>
                <w:sz w:val="22"/>
                <w:szCs w:val="22"/>
              </w:rPr>
              <w:t xml:space="preserve">συνταξιοδότησης, τέθηκε λόγω έλλειψης στοιχείων των ασφαλιστικών ταμείων ως προς τις αποδοχές ή τα εισοδήματα των ασφαλισμένων καθ’ όλη τη διάρκεια του ασφαλιστικού τους βίου (βλ. σχετικώς αιτιολογική έκθεση του ν. ***** καθώς και το ********** έγγραφο του *****, ***** και ***** με θέμα «Οδηγίες για την εφαρμογή του άρθρου 30 του ν. ***** για την προσαύξηση σύνταξης όσων κατέβαλλαν αυξημένες εισφορές»), συνάγεται ότι πρόθεση του κοινού νομοθέτη ήταν να λαμβάνονται υπόψη οι συντάξιμες αποδοχές όλου του χρόνου ασφάλισης, εξασφαλίζοντας με τον τρόπο αυτό «το σύνδεσμο μεταξύ εισφορών, παροχών και εισοδήματος» (βλ. ΔΠρΘεσ *****). Πέραν τούτου, όμως, ο νομοθέτης δεν δεσμεύεται από την αρχή της ανταποδοτικότητας μεταξύ ασφαλιστικών εισφορών και παροχών δεδομένου ότι η εν λόγω αρχή δεν έχει συνταγματική κατοχύρωση (βλ. ***** *****) και οι παροχές δεν απαιτείται να βρίσκονται σε σχέση ευθείας ανταποδοτικότητας με τις εισφορές (βλ. ΝΣΚ 127/2020). </w:t>
            </w:r>
            <w:r w:rsidRPr="003D5E12">
              <w:rPr>
                <w:rFonts w:ascii="Calibri" w:hAnsi="Calibri" w:asciiTheme="minorHAnsi" w:hAnsiTheme="minorHAnsi" w:cs="Arial" w:cstheme="minorHAnsi"/>
                <w:sz w:val="22"/>
                <w:szCs w:val="22"/>
              </w:rPr>
              <w:t xml:space="preserve">Ενόψει των ανωτέρω, κρίνεται αναγκαίο για την πληρέστερη και ασφαλέστερη διάγνωση της υπόθεσης, να αναβληθεί η έκδοση οριστικής απόφασης προκειμένου να προσκομιστούν στοιχεία από τα οποία να προκύπτει ότι κατά το χρονικό διάστημα απασχόλησης της εκκαλούσας στο ***** του ***** αυτή είχε καταβάλλει εισφορές ανώτερες (ποσοστού 32%) από αυτές του ***** (ποσοστού 20%), ότι κατά τον προσδιορισμό του ανταποδοτικού τμήματος της σύνταξής της δεν έχει λάβει χώρα υπολογισμός της </w:t>
            </w:r>
            <w:r w:rsidRPr="003D5E12">
              <w:rPr>
                <w:rFonts w:ascii="Calibri" w:hAnsi="Calibri" w:asciiTheme="minorHAnsi" w:hAnsiTheme="minorHAnsi" w:cs="Arial" w:cstheme="minorHAnsi"/>
                <w:color w:val="000000"/>
                <w:sz w:val="22"/>
                <w:szCs w:val="22"/>
              </w:rPr>
              <w:t xml:space="preserve">επίμαχης προσαύξηση του άρθρου 30 παρ. 1 του ν. *****</w:t>
            </w:r>
            <w:r w:rsidRPr="003D5E12">
              <w:rPr>
                <w:rFonts w:ascii="Calibri" w:hAnsi="Calibri" w:asciiTheme="minorHAnsi" w:hAnsiTheme="minorHAnsi" w:cs="Arial" w:cstheme="minorHAnsi"/>
                <w:sz w:val="22"/>
                <w:szCs w:val="22"/>
              </w:rPr>
              <w:t xml:space="preserve"> και τυχόν στοιχεία </w:t>
            </w:r>
            <w:r w:rsidRPr="003D5E12">
              <w:rPr>
                <w:rFonts w:ascii="Calibri" w:hAnsi="Calibri" w:asciiTheme="minorHAnsi" w:hAnsiTheme="minorHAnsi" w:cs="Arial" w:cstheme="minorHAnsi"/>
                <w:color w:val="000000"/>
                <w:sz w:val="22"/>
                <w:szCs w:val="22"/>
              </w:rPr>
              <w:t xml:space="preserve">των ασφαλιστικών ταμείων ως προς τις αποδοχές της εκκαλούσας καθ’ όλη τη διάρκεια του ασφαλιστικού της βίου και ιδίως κατά το επίμαχο χρονικό διάστημα (1982-2002)</w:t>
            </w:r>
            <w:r w:rsidRPr="003D5E12">
              <w:rPr>
                <w:rFonts w:ascii="Calibri" w:hAnsi="Calibri" w:asciiTheme="minorHAnsi" w:hAnsiTheme="minorHAnsi" w:cs="Arial" w:cstheme="minorHAnsi"/>
                <w:sz w:val="22"/>
                <w:szCs w:val="22"/>
              </w:rPr>
              <w:t xml:space="preserve">.</w:t>
            </w:r>
            <w:r w:rsidRPr="003D5E12">
              <w:rPr>
                <w:rFonts w:ascii="Calibri" w:hAnsi="Calibri" w:asciiTheme="minorHAnsi" w:hAnsiTheme="minorHAnsi" w:cs="Arial" w:cstheme="minorHAnsi"/>
                <w:bCs/>
                <w:sz w:val="22"/>
                <w:szCs w:val="22"/>
              </w:rPr>
              <w:t xml:space="preserve"> </w:t>
            </w:r>
          </w:p>
        </w:tc>
      </w:tr>
    </w:tbl>
    <w:p>
      <w:pPr>
        <w:jc w:val="both"/>
        <w:rPr>
          <w:rFonts w:ascii="Calibri" w:hAnsi="Calibri" w:asciiTheme="minorHAnsi" w:hAnsiTheme="minorHAnsi" w:cs="Arial" w:cstheme="minorHAnsi"/>
          <w:color w:val="333333"/>
          <w:sz w:val="22"/>
          <w:szCs w:val="22"/>
        </w:rPr>
      </w:pPr>
    </w:p>
    <w:p>
      <w:pPr>
        <w:jc w:val="both"/>
        <w:rPr>
          <w:rFonts w:ascii="Calibri" w:hAnsi="Calibri" w:asciiTheme="minorHAnsi" w:hAnsiTheme="minorHAnsi" w:cs="Arial" w:cstheme="minorHAnsi"/>
          <w:color w:val="333333"/>
          <w:sz w:val="22"/>
          <w:szCs w:val="22"/>
        </w:rPr>
      </w:pPr>
    </w:p>
    <w:tbl>
      <w:tblPr>
        <w:tblStyle w:val="TableNormal"/>
        <w:tblW w:w="8820" w:type="dxa"/>
        <w:jc w:val="center"/>
        <w:tblBorders>
          <w:top w:val="single" w:sz="2" w:space="0" w:color="0070C0"/>
          <w:left w:val="single" w:sz="2" w:space="0" w:color="0070C0"/>
          <w:bottom w:val="single" w:sz="2" w:space="0" w:color="0070C0"/>
          <w:right w:val="single" w:sz="2" w:space="0" w:color="0070C0"/>
        </w:tblBorders>
        <w:tblLook w:val="01E0" w:firstRow="1" w:lastRow="1" w:firstColumn="1" w:lastColumn="1" w:noHBand="0" w:noVBand="0"/>
      </w:tblPr>
      <w:tblGrid>
        <w:gridCol w:w="8820"/>
      </w:tblGrid>
      <w:tr w:rsidTr="00627F8C">
        <w:trPr>
          <w:trHeight w:val="757"/>
          <w:jc w:val="center"/>
        </w:trPr>
        <w:tc>
          <w:tcPr>
            <w:tcW w:w="8820" w:type="dxa"/>
            <w:shd w:val="clear" w:color="auto" w:fill="auto"/>
            <w:vAlign w:val="center"/>
          </w:tcPr>
          <w:p>
            <w:pPr>
              <w:jc w:val="center"/>
              <w:rPr>
                <w:rFonts w:ascii="Calibri" w:hAnsi="Calibri" w:asciiTheme="minorHAnsi" w:hAnsiTheme="minorHAnsi" w:cs="Arial" w:cstheme="minorHAnsi"/>
                <w:color w:val="333333"/>
                <w:sz w:val="22"/>
                <w:szCs w:val="22"/>
                <w:lang w:val="en-US"/>
              </w:rPr>
            </w:pPr>
            <w:r w:rsidRPr="003D5E12">
              <w:rPr>
                <w:rFonts w:ascii="Calibri" w:hAnsi="Calibri" w:asciiTheme="minorHAnsi" w:hAnsiTheme="minorHAnsi" w:cs="Arial" w:cstheme="minorHAnsi"/>
                <w:b/>
                <w:color w:val="333333"/>
                <w:sz w:val="22"/>
                <w:szCs w:val="22"/>
              </w:rPr>
              <w:t xml:space="preserve">Κατόπιν τούτων</w:t>
            </w:r>
          </w:p>
        </w:tc>
      </w:tr>
    </w:tbl>
    <w:p>
      <w:pPr>
        <w:spacing w:before="240" w:after="240" w:line="360" w:lineRule="auto"/>
        <w:jc w:val="both"/>
        <w:rPr>
          <w:rFonts w:ascii="Calibri" w:hAnsi="Calibri" w:asciiTheme="minorHAnsi" w:hAnsiTheme="minorHAnsi" w:cs="Arial" w:cstheme="minorHAnsi"/>
          <w:color w:val="333333"/>
          <w:sz w:val="22"/>
          <w:szCs w:val="22"/>
        </w:rPr>
      </w:pPr>
      <w:r w:rsidRPr="003D5E12">
        <w:rPr>
          <w:rFonts w:ascii="Calibri" w:hAnsi="Calibri" w:asciiTheme="minorHAnsi" w:hAnsiTheme="minorHAnsi" w:cs="Arial" w:cstheme="minorHAnsi"/>
          <w:bCs/>
          <w:sz w:val="22"/>
          <w:szCs w:val="22"/>
        </w:rPr>
        <w:t xml:space="preserve">                                  προτείνουμε την έκδοση προδικαστικής απόφασης</w:t>
      </w:r>
    </w:p>
    <w:tbl>
      <w:tblPr>
        <w:tblStyle w:val="TableNormal"/>
        <w:tblW w:w="8820" w:type="dxa"/>
        <w:jc w:val="center"/>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Look w:val="01E0" w:firstRow="1" w:lastRow="1" w:firstColumn="1" w:lastColumn="1" w:noHBand="0" w:noVBand="0"/>
      </w:tblPr>
      <w:tblGrid>
        <w:gridCol w:w="4410"/>
        <w:gridCol w:w="4410"/>
      </w:tblGrid>
      <w:tr w:rsidTr="00627F8C">
        <w:trPr>
          <w:trHeight w:val="438"/>
          <w:jc w:val="center"/>
        </w:trPr>
        <w:tc>
          <w:tcPr>
            <w:tcW w:w="4410" w:type="dxa"/>
            <w:tcBorders>
              <w:right w:val="nil"/>
            </w:tcBorders>
            <w:shd w:val="clear" w:color="auto" w:fill="auto"/>
            <w:vAlign w:val="center"/>
          </w:tcPr>
          <w:p>
            <w:pPr>
              <w:jc w:val="right"/>
              <w:rPr>
                <w:rFonts w:ascii="Calibri" w:hAnsi="Calibri" w:asciiTheme="minorHAnsi" w:hAnsiTheme="minorHAnsi" w:cs="Arial" w:cstheme="minorHAnsi"/>
                <w:color w:val="333333"/>
                <w:sz w:val="22"/>
                <w:szCs w:val="22"/>
                <w:lang w:val="en-US"/>
              </w:rPr>
            </w:pPr>
            <w:r w:rsidRPr="003D5E12">
              <w:rPr>
                <w:rFonts w:ascii="Calibri" w:hAnsi="Calibri" w:asciiTheme="minorHAnsi" w:hAnsiTheme="minorHAnsi" w:cs="Arial" w:cstheme="minorHAnsi"/>
                <w:color w:val="333333"/>
                <w:sz w:val="22"/>
                <w:szCs w:val="22"/>
              </w:rPr>
              <w:t xml:space="preserve">Αθήνα,</w:t>
            </w:r>
          </w:p>
        </w:tc>
        <w:tc>
          <w:tcPr>
            <w:tcW w:w="4410" w:type="dxa"/>
            <w:tcBorders>
              <w:left w:val="nil"/>
            </w:tcBorders>
            <w:shd w:val="clear" w:color="auto" w:fill="auto"/>
            <w:vAlign w:val="center"/>
          </w:tcPr>
          <w:p>
            <w:pPr>
              <w:rPr>
                <w:rFonts w:ascii="Calibri" w:hAnsi="Calibri" w:asciiTheme="minorHAnsi" w:hAnsiTheme="minorHAnsi" w:cs="Arial" w:cstheme="minorHAnsi"/>
                <w:color w:val="333333"/>
                <w:sz w:val="22"/>
                <w:szCs w:val="22"/>
              </w:rPr>
            </w:pPr>
            <w:r w:rsidRPr="003D5E12">
              <w:rPr>
                <w:rFonts w:ascii="Calibri" w:hAnsi="Calibri" w:asciiTheme="minorHAnsi" w:hAnsiTheme="minorHAnsi" w:cs="Arial" w:cstheme="minorHAnsi"/>
                <w:color w:val="333333"/>
                <w:sz w:val="22"/>
                <w:szCs w:val="22"/>
              </w:rPr>
              <w:t xml:space="preserve"> </w:t>
            </w:r>
            <w:r w:rsidRPr="003D5E12" w:rsidR="00213380">
              <w:rPr>
                <w:rFonts w:ascii="Calibri" w:hAnsi="Calibri" w:asciiTheme="minorHAnsi" w:hAnsiTheme="minorHAnsi" w:cs="Arial" w:cstheme="minorHAnsi"/>
                <w:color w:val="333333"/>
                <w:sz w:val="22"/>
                <w:szCs w:val="22"/>
              </w:rPr>
              <w:t xml:space="preserve">19.1.2023</w:t>
            </w:r>
          </w:p>
        </w:tc>
      </w:tr>
      <w:tr w:rsidTr="00627F8C">
        <w:trPr>
          <w:trHeight w:val="1544"/>
          <w:jc w:val="center"/>
        </w:trPr>
        <w:tc>
          <w:tcPr>
            <w:tcW w:w="4410" w:type="dxa"/>
            <w:shd w:val="clear" w:color="auto" w:fill="auto"/>
            <w:vAlign w:val="center"/>
          </w:tcPr>
          <w:p>
            <w:pPr>
              <w:spacing w:line="360" w:lineRule="auto"/>
              <w:jc w:val="center"/>
              <w:rPr>
                <w:rFonts w:ascii="Calibri" w:hAnsi="Calibri" w:asciiTheme="minorHAnsi" w:hAnsiTheme="minorHAnsi" w:cs="Arial" w:cstheme="minorHAnsi"/>
                <w:sz w:val="22"/>
                <w:szCs w:val="22"/>
              </w:rPr>
            </w:pPr>
            <w:r w:rsidRPr="003D5E12">
              <w:rPr>
                <w:rFonts w:ascii="Calibri" w:hAnsi="Calibri" w:asciiTheme="minorHAnsi" w:hAnsiTheme="minorHAnsi" w:cs="Arial" w:cstheme="minorHAnsi"/>
                <w:b/>
                <w:sz w:val="22"/>
                <w:szCs w:val="22"/>
              </w:rPr>
              <w:t xml:space="preserve">*****</w:t>
            </w:r>
          </w:p>
          <w:p>
            <w:pPr>
              <w:spacing w:line="360" w:lineRule="auto"/>
              <w:jc w:val="center"/>
              <w:rPr>
                <w:rFonts w:ascii="Calibri" w:hAnsi="Calibri" w:asciiTheme="minorHAnsi" w:hAnsiTheme="minorHAnsi" w:cs="Arial" w:cstheme="minorHAnsi"/>
                <w:b/>
                <w:sz w:val="22"/>
                <w:szCs w:val="22"/>
              </w:rPr>
            </w:pPr>
            <w:r w:rsidRPr="003D5E12">
              <w:rPr>
                <w:rFonts w:ascii="Calibri" w:hAnsi="Calibri" w:asciiTheme="minorHAnsi" w:hAnsiTheme="minorHAnsi" w:cs="Arial" w:cstheme="minorHAnsi"/>
                <w:b/>
                <w:sz w:val="22"/>
                <w:szCs w:val="22"/>
              </w:rPr>
              <w:t xml:space="preserve">Πάρεδρος της Γενικής Επιτροπείας</w:t>
            </w:r>
          </w:p>
          <w:p>
            <w:pPr>
              <w:jc w:val="center"/>
              <w:rPr>
                <w:rFonts w:ascii="Calibri" w:hAnsi="Calibri" w:asciiTheme="minorHAnsi" w:hAnsiTheme="minorHAnsi" w:cs="Arial" w:cstheme="minorHAnsi"/>
                <w:color w:val="333333"/>
                <w:sz w:val="22"/>
                <w:szCs w:val="22"/>
              </w:rPr>
            </w:pPr>
          </w:p>
        </w:tc>
        <w:tc>
          <w:tcPr>
            <w:tcW w:w="4410" w:type="dxa"/>
            <w:shd w:val="clear" w:color="auto" w:fill="auto"/>
            <w:vAlign w:val="center"/>
          </w:tcPr>
          <w:p>
            <w:pPr>
              <w:jc w:val="center"/>
              <w:rPr>
                <w:rFonts w:ascii="Calibri" w:hAnsi="Calibri" w:asciiTheme="minorHAnsi" w:hAnsiTheme="minorHAnsi" w:cs="Arial" w:cstheme="minorHAnsi"/>
                <w:color w:val="333333"/>
                <w:sz w:val="22"/>
                <w:szCs w:val="22"/>
              </w:rPr>
            </w:pPr>
          </w:p>
        </w:tc>
      </w:tr>
    </w:tbl>
    <w:p>
      <w:pPr>
        <w:spacing w:before="240" w:after="240" w:line="360" w:lineRule="auto"/>
        <w:jc w:val="both"/>
        <w:rPr>
          <w:rFonts w:ascii="Calibri" w:hAnsi="Calibri" w:asciiTheme="minorHAnsi" w:hAnsiTheme="minorHAnsi" w:cs="Arial" w:cstheme="minorHAnsi"/>
          <w:color w:val="333333"/>
          <w:sz w:val="22"/>
          <w:szCs w:val="22"/>
        </w:rPr>
      </w:pPr>
    </w:p>
    <w:sectPr w:rsidSect="00EE79DD">
      <w:footerReference w:type="default" r:id="rId8"/>
      <w:footerReference w:type="first" r:id="rId9"/>
      <w:pgSz w:w="11906" w:h="16838" w:orient="portrait" w:code="9"/>
      <w:pgMar w:top="1440" w:right="1646" w:bottom="1440" w:left="1620" w:header="709" w:footer="709" w:gutter="0"/>
      <w:cols w:num="1" w:space="708">
        <w:col w:w="8640" w:space="708"/>
      </w:cols>
      <w:titlePg/>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alibri">
    <w:panose1 w:val="020F0502020204030204"/>
    <w:charset w:val="A1"/>
    <w:family w:val="Auto"/>
    <w:pitch w:val="variable"/>
    <w:sig w:usb0="E4002EFF" w:usb1="C200247B" w:usb2="00000009" w:usb3="00000000" w:csb0="000001FF" w:csb1="00000000"/>
  </w:font>
  <w:font w:name="Times New Roman">
    <w:panose1 w:val="02020603050405020304"/>
    <w:charset w:val="A1"/>
    <w:family w:val="Auto"/>
    <w:pitch w:val="variable"/>
    <w:sig w:usb0="E0002EFF" w:usb1="C000785B" w:usb2="00000009" w:usb3="00000000" w:csb0="000001FF" w:csb1="00000000"/>
  </w:font>
  <w:font w:name="Tahoma">
    <w:panose1 w:val="020B0604030504040204"/>
    <w:charset w:val="A1"/>
    <w:family w:val="Auto"/>
    <w:pitch w:val="variable"/>
    <w:sig w:usb0="E1002EFF" w:usb1="C000605B" w:usb2="00000029" w:usb3="00000000" w:csb0="000101FF" w:csb1="00000000"/>
  </w:font>
  <w:font w:name="Arial">
    <w:panose1 w:val="020B0604020202020204"/>
    <w:charset w:val="A1"/>
    <w:family w:val="Auto"/>
    <w:pitch w:val="variable"/>
    <w:sig w:usb0="E0002EFF" w:usb1="C000785B" w:usb2="00000009" w:usb3="00000000" w:csb0="000001FF" w:csb1="00000000"/>
  </w:font>
  <w:font w:name="MS Mincho">
    <w:altName w:val="ＭＳ 明朝"/>
    <w:panose1 w:val="02020609040205080304"/>
    <w:charset w:val="80"/>
    <w:family w:val="Auto"/>
    <w:pitch w:val="fixed"/>
    <w:sig w:usb0="E00002FF" w:usb1="6AC7FDFB" w:usb2="08000012" w:usb3="00000000" w:csb0="0002009F" w:csb1="00000000"/>
  </w:font>
  <w:font w:name="Calibri Light">
    <w:panose1 w:val="020F0302020204030204"/>
    <w:charset w:val="A1"/>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right"/>
      <w:rPr>
        <w:color w:val="4D4D4D"/>
        <w:sz w:val="16"/>
        <w:szCs w:val="16"/>
      </w:rPr>
    </w:pPr>
    <w:r>
      <w:rPr>
        <w:color w:val="4D4D4D"/>
        <w:sz w:val="16"/>
        <w:szCs w:val="16"/>
      </w:rPr>
      <w:fldChar w:fldCharType="begin"/>
    </w:r>
    <w:r w:rsidRPr="001A102B">
      <w:rPr>
        <w:color w:val="4D4D4D"/>
        <w:sz w:val="16"/>
        <w:szCs w:val="16"/>
      </w:rPr>
      <w:instrText xml:space="preserve">PAGE   \* MERGEFORMAT</w:instrText>
    </w:r>
    <w:r>
      <w:rPr>
        <w:color w:val="4D4D4D"/>
        <w:sz w:val="16"/>
        <w:szCs w:val="16"/>
      </w:rPr>
      <w:fldChar w:fldCharType="separate"/>
    </w:r>
    <w:r w:rsidRPr="001A102B">
      <w:rPr>
        <w:color w:val="4D4D4D"/>
        <w:sz w:val="16"/>
        <w:szCs w:val="16"/>
      </w:rPr>
      <w:t xml:space="preserve">1</w:t>
    </w:r>
    <w:r>
      <w:rPr>
        <w:color w:val="4D4D4D"/>
        <w:sz w:val="16"/>
        <w:szCs w:val="16"/>
      </w:rPr>
      <w:fldChar w:fldCharType="end"/>
    </w:r>
    <w:r w:rsidRPr="001A102B">
      <w:rPr>
        <w:color w:val="4D4D4D"/>
        <w:sz w:val="16"/>
        <w:szCs w:val="16"/>
      </w:rPr>
      <w:tab/>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right"/>
      <w:rPr>
        <w:color w:val="4D4D4D"/>
        <w:sz w:val="16"/>
        <w:szCs w:val="16"/>
      </w:rPr>
    </w:pPr>
    <w:r>
      <w:rPr>
        <w:color w:val="4D4D4D"/>
        <w:sz w:val="16"/>
        <w:szCs w:val="16"/>
      </w:rPr>
      <w:fldChar w:fldCharType="begin"/>
    </w:r>
    <w:r w:rsidRPr="001A102B">
      <w:rPr>
        <w:color w:val="4D4D4D"/>
        <w:sz w:val="16"/>
        <w:szCs w:val="16"/>
      </w:rPr>
      <w:instrText xml:space="preserve">PAGE   \* MERGEFORMAT</w:instrText>
    </w:r>
    <w:r>
      <w:rPr>
        <w:color w:val="4D4D4D"/>
        <w:sz w:val="16"/>
        <w:szCs w:val="16"/>
      </w:rPr>
      <w:fldChar w:fldCharType="separate"/>
    </w:r>
    <w:r>
      <w:rPr>
        <w:color w:val="4D4D4D"/>
        <w:sz w:val="16"/>
        <w:szCs w:val="16"/>
      </w:rPr>
      <w:t xml:space="preserve">2</w:t>
    </w:r>
    <w:r>
      <w:rPr>
        <w:color w:val="4D4D4D"/>
        <w:sz w:val="16"/>
        <w:szCs w:val="16"/>
      </w:rPr>
      <w:fldChar w:fldCharType="end"/>
    </w:r>
    <w:r w:rsidRPr="001A102B">
      <w:rPr>
        <w:color w:val="4D4D4D"/>
        <w:sz w:val="16"/>
        <w:szCs w:val="16"/>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tabs>
          <w:tab w:val="num" w:pos="0"/>
        </w:tabs>
        <w:ind w:left="0" w:firstLine="720"/>
      </w:pPr>
      <w:rPr>
        <w:rFonts w:ascii="Calibri" w:hAnsi="Calibri" w:hint="default"/>
        <w:b/>
        <w:i w:val="0"/>
        <w:sz w:val="22"/>
      </w:rPr>
    </w:lvl>
    <w:lvl w:ilvl="1">
      <w:start w:val="1"/>
      <w:numFmt w:val="lowerLetter"/>
      <w:suff w:val="tab"/>
      <w:lvlText w:val="%2."/>
      <w:lvlJc w:val="left"/>
      <w:pPr>
        <w:tabs>
          <w:tab w:val="num" w:pos="2160"/>
        </w:tabs>
        <w:ind w:left="2160" w:hanging="360"/>
      </w:pPr>
      <w:rPr/>
    </w:lvl>
    <w:lvl w:ilvl="2">
      <w:start w:val="1"/>
      <w:numFmt w:val="lowerRoman"/>
      <w:suff w:val="tab"/>
      <w:lvlText w:val="%3."/>
      <w:lvlJc w:val="right"/>
      <w:pPr>
        <w:tabs>
          <w:tab w:val="num" w:pos="2880"/>
        </w:tabs>
        <w:ind w:left="2880" w:hanging="180"/>
      </w:pPr>
      <w:rPr/>
    </w:lvl>
    <w:lvl w:ilvl="3">
      <w:start w:val="1"/>
      <w:numFmt w:val="decimal"/>
      <w:suff w:val="tab"/>
      <w:lvlText w:val="%4."/>
      <w:lvlJc w:val="left"/>
      <w:pPr>
        <w:tabs>
          <w:tab w:val="num" w:pos="3600"/>
        </w:tabs>
        <w:ind w:left="3600" w:hanging="360"/>
      </w:pPr>
      <w:rPr/>
    </w:lvl>
    <w:lvl w:ilvl="4">
      <w:start w:val="1"/>
      <w:numFmt w:val="lowerLetter"/>
      <w:suff w:val="tab"/>
      <w:lvlText w:val="%5."/>
      <w:lvlJc w:val="left"/>
      <w:pPr>
        <w:tabs>
          <w:tab w:val="num" w:pos="4320"/>
        </w:tabs>
        <w:ind w:left="4320" w:hanging="360"/>
      </w:pPr>
      <w:rPr/>
    </w:lvl>
    <w:lvl w:ilvl="5">
      <w:start w:val="1"/>
      <w:numFmt w:val="lowerRoman"/>
      <w:suff w:val="tab"/>
      <w:lvlText w:val="%6."/>
      <w:lvlJc w:val="right"/>
      <w:pPr>
        <w:tabs>
          <w:tab w:val="num" w:pos="5040"/>
        </w:tabs>
        <w:ind w:left="5040" w:hanging="180"/>
      </w:pPr>
      <w:rPr/>
    </w:lvl>
    <w:lvl w:ilvl="6">
      <w:start w:val="1"/>
      <w:numFmt w:val="decimal"/>
      <w:suff w:val="tab"/>
      <w:lvlText w:val="%7."/>
      <w:lvlJc w:val="left"/>
      <w:pPr>
        <w:tabs>
          <w:tab w:val="num" w:pos="5760"/>
        </w:tabs>
        <w:ind w:left="5760" w:hanging="360"/>
      </w:pPr>
      <w:rPr/>
    </w:lvl>
    <w:lvl w:ilvl="7">
      <w:start w:val="1"/>
      <w:numFmt w:val="lowerLetter"/>
      <w:suff w:val="tab"/>
      <w:lvlText w:val="%8."/>
      <w:lvlJc w:val="left"/>
      <w:pPr>
        <w:tabs>
          <w:tab w:val="num" w:pos="6480"/>
        </w:tabs>
        <w:ind w:left="6480" w:hanging="360"/>
      </w:pPr>
      <w:rPr/>
    </w:lvl>
    <w:lvl w:ilvl="8">
      <w:start w:val="1"/>
      <w:numFmt w:val="lowerRoman"/>
      <w:suff w:val="tab"/>
      <w:lvlText w:val="%9."/>
      <w:lvlJc w:val="right"/>
      <w:pPr>
        <w:tabs>
          <w:tab w:val="num" w:pos="7200"/>
        </w:tabs>
        <w:ind w:left="7200" w:hanging="180"/>
      </w:pPr>
      <w:rPr/>
    </w:lvl>
  </w:abstractNum>
  <w:abstractNum w:abstractNumId="7">
    <w:multiLevelType w:val="multilevel"/>
    <w:lvl w:ilvl="0">
      <w:start w:val="1"/>
      <w:numFmt w:val="decimal"/>
      <w:suff w:val="tab"/>
      <w:lvlText w:val="%1."/>
      <w:lvlJc w:val="left"/>
      <w:pPr>
        <w:tabs>
          <w:tab w:val="num" w:pos="1440"/>
        </w:tabs>
        <w:ind w:left="1440" w:hanging="360"/>
      </w:pPr>
      <w:rPr>
        <w:rFonts w:ascii="Calibri" w:hAnsi="Calibri" w:hint="default"/>
        <w:b/>
        <w:i w:val="0"/>
        <w:sz w:val="22"/>
      </w:rPr>
    </w:lvl>
    <w:lvl w:ilvl="1">
      <w:start w:val="1"/>
      <w:numFmt w:val="lowerLetter"/>
      <w:suff w:val="tab"/>
      <w:lvlText w:val="%2."/>
      <w:lvlJc w:val="left"/>
      <w:pPr>
        <w:tabs>
          <w:tab w:val="num" w:pos="2160"/>
        </w:tabs>
        <w:ind w:left="2160" w:hanging="360"/>
      </w:pPr>
      <w:rPr/>
    </w:lvl>
    <w:lvl w:ilvl="2">
      <w:start w:val="1"/>
      <w:numFmt w:val="lowerRoman"/>
      <w:suff w:val="tab"/>
      <w:lvlText w:val="%3."/>
      <w:lvlJc w:val="right"/>
      <w:pPr>
        <w:tabs>
          <w:tab w:val="num" w:pos="2880"/>
        </w:tabs>
        <w:ind w:left="2880" w:hanging="180"/>
      </w:pPr>
      <w:rPr/>
    </w:lvl>
    <w:lvl w:ilvl="3">
      <w:start w:val="1"/>
      <w:numFmt w:val="decimal"/>
      <w:suff w:val="tab"/>
      <w:lvlText w:val="%4."/>
      <w:lvlJc w:val="left"/>
      <w:pPr>
        <w:tabs>
          <w:tab w:val="num" w:pos="3600"/>
        </w:tabs>
        <w:ind w:left="3600" w:hanging="360"/>
      </w:pPr>
      <w:rPr/>
    </w:lvl>
    <w:lvl w:ilvl="4">
      <w:start w:val="1"/>
      <w:numFmt w:val="lowerLetter"/>
      <w:suff w:val="tab"/>
      <w:lvlText w:val="%5."/>
      <w:lvlJc w:val="left"/>
      <w:pPr>
        <w:tabs>
          <w:tab w:val="num" w:pos="4320"/>
        </w:tabs>
        <w:ind w:left="4320" w:hanging="360"/>
      </w:pPr>
      <w:rPr/>
    </w:lvl>
    <w:lvl w:ilvl="5">
      <w:start w:val="1"/>
      <w:numFmt w:val="lowerRoman"/>
      <w:suff w:val="tab"/>
      <w:lvlText w:val="%6."/>
      <w:lvlJc w:val="right"/>
      <w:pPr>
        <w:tabs>
          <w:tab w:val="num" w:pos="5040"/>
        </w:tabs>
        <w:ind w:left="5040" w:hanging="180"/>
      </w:pPr>
      <w:rPr/>
    </w:lvl>
    <w:lvl w:ilvl="6">
      <w:start w:val="1"/>
      <w:numFmt w:val="decimal"/>
      <w:suff w:val="tab"/>
      <w:lvlText w:val="%7."/>
      <w:lvlJc w:val="left"/>
      <w:pPr>
        <w:tabs>
          <w:tab w:val="num" w:pos="5760"/>
        </w:tabs>
        <w:ind w:left="5760" w:hanging="360"/>
      </w:pPr>
      <w:rPr/>
    </w:lvl>
    <w:lvl w:ilvl="7">
      <w:start w:val="1"/>
      <w:numFmt w:val="lowerLetter"/>
      <w:suff w:val="tab"/>
      <w:lvlText w:val="%8."/>
      <w:lvlJc w:val="left"/>
      <w:pPr>
        <w:tabs>
          <w:tab w:val="num" w:pos="6480"/>
        </w:tabs>
        <w:ind w:left="6480" w:hanging="360"/>
      </w:pPr>
      <w:rPr/>
    </w:lvl>
    <w:lvl w:ilvl="8">
      <w:start w:val="1"/>
      <w:numFmt w:val="lowerRoman"/>
      <w:suff w:val="tab"/>
      <w:lvlText w:val="%9."/>
      <w:lvlJc w:val="right"/>
      <w:pPr>
        <w:tabs>
          <w:tab w:val="num" w:pos="7200"/>
        </w:tabs>
        <w:ind w:left="7200" w:hanging="180"/>
      </w:pPr>
      <w:rPr/>
    </w:lvl>
  </w:abstractNum>
  <w:abstractNum w:abstractNumId="8">
    <w:multiLevelType w:val="multilevel"/>
    <w:lvl w:ilvl="0">
      <w:start w:val="1"/>
      <w:numFmt w:val="decimal"/>
      <w:suff w:val="tab"/>
      <w:lvlText w:val="%1."/>
      <w:lvlJc w:val="left"/>
      <w:pPr>
        <w:tabs>
          <w:tab w:val="num" w:pos="284"/>
        </w:tabs>
        <w:ind w:left="0" w:firstLine="924"/>
      </w:pPr>
      <w:rPr>
        <w:rFonts w:ascii="Calibri" w:hAnsi="Calibri" w:hint="default"/>
        <w:b/>
        <w:i w:val="0"/>
        <w:sz w:val="22"/>
      </w:rPr>
    </w:lvl>
    <w:lvl w:ilvl="1">
      <w:start w:val="1"/>
      <w:numFmt w:val="lowerLetter"/>
      <w:suff w:val="tab"/>
      <w:lvlText w:val="%2."/>
      <w:lvlJc w:val="left"/>
      <w:pPr>
        <w:tabs>
          <w:tab w:val="num" w:pos="2160"/>
        </w:tabs>
        <w:ind w:left="2160" w:hanging="360"/>
      </w:pPr>
      <w:rPr/>
    </w:lvl>
    <w:lvl w:ilvl="2">
      <w:start w:val="1"/>
      <w:numFmt w:val="lowerRoman"/>
      <w:suff w:val="tab"/>
      <w:lvlText w:val="%3."/>
      <w:lvlJc w:val="right"/>
      <w:pPr>
        <w:tabs>
          <w:tab w:val="num" w:pos="2880"/>
        </w:tabs>
        <w:ind w:left="2880" w:hanging="180"/>
      </w:pPr>
      <w:rPr/>
    </w:lvl>
    <w:lvl w:ilvl="3">
      <w:start w:val="1"/>
      <w:numFmt w:val="decimal"/>
      <w:suff w:val="tab"/>
      <w:lvlText w:val="%4."/>
      <w:lvlJc w:val="left"/>
      <w:pPr>
        <w:tabs>
          <w:tab w:val="num" w:pos="3600"/>
        </w:tabs>
        <w:ind w:left="3600" w:hanging="360"/>
      </w:pPr>
      <w:rPr/>
    </w:lvl>
    <w:lvl w:ilvl="4">
      <w:start w:val="1"/>
      <w:numFmt w:val="lowerLetter"/>
      <w:suff w:val="tab"/>
      <w:lvlText w:val="%5."/>
      <w:lvlJc w:val="left"/>
      <w:pPr>
        <w:tabs>
          <w:tab w:val="num" w:pos="4320"/>
        </w:tabs>
        <w:ind w:left="4320" w:hanging="360"/>
      </w:pPr>
      <w:rPr/>
    </w:lvl>
    <w:lvl w:ilvl="5">
      <w:start w:val="1"/>
      <w:numFmt w:val="lowerRoman"/>
      <w:suff w:val="tab"/>
      <w:lvlText w:val="%6."/>
      <w:lvlJc w:val="right"/>
      <w:pPr>
        <w:tabs>
          <w:tab w:val="num" w:pos="5040"/>
        </w:tabs>
        <w:ind w:left="5040" w:hanging="180"/>
      </w:pPr>
      <w:rPr/>
    </w:lvl>
    <w:lvl w:ilvl="6">
      <w:start w:val="1"/>
      <w:numFmt w:val="decimal"/>
      <w:suff w:val="tab"/>
      <w:lvlText w:val="%7."/>
      <w:lvlJc w:val="left"/>
      <w:pPr>
        <w:tabs>
          <w:tab w:val="num" w:pos="5760"/>
        </w:tabs>
        <w:ind w:left="5760" w:hanging="360"/>
      </w:pPr>
      <w:rPr/>
    </w:lvl>
    <w:lvl w:ilvl="7">
      <w:start w:val="1"/>
      <w:numFmt w:val="lowerLetter"/>
      <w:suff w:val="tab"/>
      <w:lvlText w:val="%8."/>
      <w:lvlJc w:val="left"/>
      <w:pPr>
        <w:tabs>
          <w:tab w:val="num" w:pos="6480"/>
        </w:tabs>
        <w:ind w:left="6480" w:hanging="360"/>
      </w:pPr>
      <w:rPr/>
    </w:lvl>
    <w:lvl w:ilvl="8">
      <w:start w:val="1"/>
      <w:numFmt w:val="lowerRoman"/>
      <w:suff w:val="tab"/>
      <w:lvlText w:val="%9."/>
      <w:lvlJc w:val="right"/>
      <w:pPr>
        <w:tabs>
          <w:tab w:val="num" w:pos="7200"/>
        </w:tabs>
        <w:ind w:left="7200" w:hanging="180"/>
      </w:pPr>
      <w:rPr/>
    </w:lvl>
  </w:abstractNum>
  <w:abstractNum w:abstractNumId="9">
    <w:multiLevelType w:val="multilevel"/>
    <w:lvl w:ilvl="0">
      <w:start w:val="1"/>
      <w:numFmt w:val="decimal"/>
      <w:suff w:val="tab"/>
      <w:lvlText w:val="%1."/>
      <w:lvlJc w:val="left"/>
      <w:pPr>
        <w:tabs>
          <w:tab w:val="num" w:pos="0"/>
        </w:tabs>
        <w:ind w:left="0" w:firstLine="720"/>
      </w:pPr>
      <w:rPr>
        <w:rFonts w:ascii="Calibri" w:hAnsi="Calibri" w:hint="default"/>
        <w:b/>
        <w:i w:val="0"/>
        <w:sz w:val="22"/>
      </w:rPr>
    </w:lvl>
    <w:lvl w:ilvl="1">
      <w:start w:val="1"/>
      <w:numFmt w:val="lowerLetter"/>
      <w:suff w:val="tab"/>
      <w:lvlText w:val="%2."/>
      <w:lvlJc w:val="left"/>
      <w:pPr>
        <w:tabs>
          <w:tab w:val="num" w:pos="2160"/>
        </w:tabs>
        <w:ind w:left="2160" w:hanging="360"/>
      </w:pPr>
      <w:rPr/>
    </w:lvl>
    <w:lvl w:ilvl="2">
      <w:start w:val="1"/>
      <w:numFmt w:val="lowerRoman"/>
      <w:suff w:val="tab"/>
      <w:lvlText w:val="%3."/>
      <w:lvlJc w:val="right"/>
      <w:pPr>
        <w:tabs>
          <w:tab w:val="num" w:pos="2880"/>
        </w:tabs>
        <w:ind w:left="2880" w:hanging="180"/>
      </w:pPr>
      <w:rPr/>
    </w:lvl>
    <w:lvl w:ilvl="3">
      <w:start w:val="1"/>
      <w:numFmt w:val="decimal"/>
      <w:suff w:val="tab"/>
      <w:lvlText w:val="%4."/>
      <w:lvlJc w:val="left"/>
      <w:pPr>
        <w:tabs>
          <w:tab w:val="num" w:pos="3600"/>
        </w:tabs>
        <w:ind w:left="3600" w:hanging="360"/>
      </w:pPr>
      <w:rPr/>
    </w:lvl>
    <w:lvl w:ilvl="4">
      <w:start w:val="1"/>
      <w:numFmt w:val="lowerLetter"/>
      <w:suff w:val="tab"/>
      <w:lvlText w:val="%5."/>
      <w:lvlJc w:val="left"/>
      <w:pPr>
        <w:tabs>
          <w:tab w:val="num" w:pos="4320"/>
        </w:tabs>
        <w:ind w:left="4320" w:hanging="360"/>
      </w:pPr>
      <w:rPr/>
    </w:lvl>
    <w:lvl w:ilvl="5">
      <w:start w:val="1"/>
      <w:numFmt w:val="lowerRoman"/>
      <w:suff w:val="tab"/>
      <w:lvlText w:val="%6."/>
      <w:lvlJc w:val="right"/>
      <w:pPr>
        <w:tabs>
          <w:tab w:val="num" w:pos="5040"/>
        </w:tabs>
        <w:ind w:left="5040" w:hanging="180"/>
      </w:pPr>
      <w:rPr/>
    </w:lvl>
    <w:lvl w:ilvl="6">
      <w:start w:val="1"/>
      <w:numFmt w:val="decimal"/>
      <w:suff w:val="tab"/>
      <w:lvlText w:val="%7."/>
      <w:lvlJc w:val="left"/>
      <w:pPr>
        <w:tabs>
          <w:tab w:val="num" w:pos="5760"/>
        </w:tabs>
        <w:ind w:left="5760" w:hanging="360"/>
      </w:pPr>
      <w:rPr/>
    </w:lvl>
    <w:lvl w:ilvl="7">
      <w:start w:val="1"/>
      <w:numFmt w:val="lowerLetter"/>
      <w:suff w:val="tab"/>
      <w:lvlText w:val="%8."/>
      <w:lvlJc w:val="left"/>
      <w:pPr>
        <w:tabs>
          <w:tab w:val="num" w:pos="6480"/>
        </w:tabs>
        <w:ind w:left="6480" w:hanging="360"/>
      </w:pPr>
      <w:rPr/>
    </w:lvl>
    <w:lvl w:ilvl="8">
      <w:start w:val="1"/>
      <w:numFmt w:val="lowerRoman"/>
      <w:suff w:val="tab"/>
      <w:lvlText w:val="%9."/>
      <w:lvlJc w:val="right"/>
      <w:pPr>
        <w:tabs>
          <w:tab w:val="num" w:pos="7200"/>
        </w:tabs>
        <w:ind w:left="7200" w:hanging="180"/>
      </w:pPr>
      <w:rPr/>
    </w:lvl>
  </w:abstractNum>
  <w:abstractNum w:abstractNumId="10">
    <w:multiLevelType w:val="multilevel"/>
    <w:lvl w:ilvl="0">
      <w:start w:val="1"/>
      <w:numFmt w:val="decimal"/>
      <w:suff w:val="tab"/>
      <w:lvlText w:val="%1."/>
      <w:lvlJc w:val="left"/>
      <w:pPr>
        <w:tabs>
          <w:tab w:val="num" w:pos="284"/>
        </w:tabs>
        <w:ind w:left="0" w:firstLine="924"/>
      </w:pPr>
      <w:rPr>
        <w:rFonts w:ascii="Calibri" w:hAnsi="Calibri" w:hint="default"/>
        <w:b/>
        <w:i w:val="0"/>
        <w:sz w:val="22"/>
      </w:rPr>
    </w:lvl>
    <w:lvl w:ilvl="1">
      <w:start w:val="1"/>
      <w:numFmt w:val="lowerLetter"/>
      <w:suff w:val="tab"/>
      <w:lvlText w:val="%2."/>
      <w:lvlJc w:val="left"/>
      <w:pPr>
        <w:tabs>
          <w:tab w:val="num" w:pos="2160"/>
        </w:tabs>
        <w:ind w:left="2160" w:hanging="360"/>
      </w:pPr>
      <w:rPr/>
    </w:lvl>
    <w:lvl w:ilvl="2">
      <w:start w:val="1"/>
      <w:numFmt w:val="lowerRoman"/>
      <w:suff w:val="tab"/>
      <w:lvlText w:val="%3."/>
      <w:lvlJc w:val="right"/>
      <w:pPr>
        <w:tabs>
          <w:tab w:val="num" w:pos="2880"/>
        </w:tabs>
        <w:ind w:left="2880" w:hanging="180"/>
      </w:pPr>
      <w:rPr/>
    </w:lvl>
    <w:lvl w:ilvl="3">
      <w:start w:val="1"/>
      <w:numFmt w:val="decimal"/>
      <w:suff w:val="tab"/>
      <w:lvlText w:val="%4."/>
      <w:lvlJc w:val="left"/>
      <w:pPr>
        <w:tabs>
          <w:tab w:val="num" w:pos="3600"/>
        </w:tabs>
        <w:ind w:left="3600" w:hanging="360"/>
      </w:pPr>
      <w:rPr/>
    </w:lvl>
    <w:lvl w:ilvl="4">
      <w:start w:val="1"/>
      <w:numFmt w:val="lowerLetter"/>
      <w:suff w:val="tab"/>
      <w:lvlText w:val="%5."/>
      <w:lvlJc w:val="left"/>
      <w:pPr>
        <w:tabs>
          <w:tab w:val="num" w:pos="4320"/>
        </w:tabs>
        <w:ind w:left="4320" w:hanging="360"/>
      </w:pPr>
      <w:rPr/>
    </w:lvl>
    <w:lvl w:ilvl="5">
      <w:start w:val="1"/>
      <w:numFmt w:val="lowerRoman"/>
      <w:suff w:val="tab"/>
      <w:lvlText w:val="%6."/>
      <w:lvlJc w:val="right"/>
      <w:pPr>
        <w:tabs>
          <w:tab w:val="num" w:pos="5040"/>
        </w:tabs>
        <w:ind w:left="5040" w:hanging="180"/>
      </w:pPr>
      <w:rPr/>
    </w:lvl>
    <w:lvl w:ilvl="6">
      <w:start w:val="1"/>
      <w:numFmt w:val="decimal"/>
      <w:suff w:val="tab"/>
      <w:lvlText w:val="%7."/>
      <w:lvlJc w:val="left"/>
      <w:pPr>
        <w:tabs>
          <w:tab w:val="num" w:pos="5760"/>
        </w:tabs>
        <w:ind w:left="5760" w:hanging="360"/>
      </w:pPr>
      <w:rPr/>
    </w:lvl>
    <w:lvl w:ilvl="7">
      <w:start w:val="1"/>
      <w:numFmt w:val="lowerLetter"/>
      <w:suff w:val="tab"/>
      <w:lvlText w:val="%8."/>
      <w:lvlJc w:val="left"/>
      <w:pPr>
        <w:tabs>
          <w:tab w:val="num" w:pos="6480"/>
        </w:tabs>
        <w:ind w:left="6480" w:hanging="360"/>
      </w:pPr>
      <w:rPr/>
    </w:lvl>
    <w:lvl w:ilvl="8">
      <w:start w:val="1"/>
      <w:numFmt w:val="lowerRoman"/>
      <w:suff w:val="tab"/>
      <w:lvlText w:val="%9."/>
      <w:lvlJc w:val="right"/>
      <w:pPr>
        <w:tabs>
          <w:tab w:val="num" w:pos="7200"/>
        </w:tabs>
        <w:ind w:left="7200" w:hanging="180"/>
      </w:pPr>
      <w:rPr/>
    </w:lvl>
  </w:abstractNum>
  <w:abstractNum w:abstractNumId="11">
    <w:multiLevelType w:val="hybridMultilevel"/>
    <w:lvl w:ilvl="0">
      <w:start w:val="1"/>
      <w:numFmt w:val="decimal"/>
      <w:suff w:val="tab"/>
      <w:lvlText w:val="%1."/>
      <w:lvlJc w:val="left"/>
      <w:pPr>
        <w:tabs>
          <w:tab w:val="num" w:pos="0"/>
        </w:tabs>
        <w:ind w:left="0" w:firstLine="720"/>
      </w:pPr>
      <w:rPr>
        <w:rFonts w:ascii="Calibri" w:hAnsi="Calibri" w:hint="default"/>
        <w:b/>
        <w:i w:val="0"/>
        <w:sz w:val="22"/>
      </w:rPr>
    </w:lvl>
    <w:lvl w:ilvl="1">
      <w:start w:val="1"/>
      <w:numFmt w:val="lowerLetter"/>
      <w:suff w:val="tab"/>
      <w:lvlText w:val="%2."/>
      <w:lvlJc w:val="left"/>
      <w:pPr>
        <w:tabs>
          <w:tab w:val="num" w:pos="2160"/>
        </w:tabs>
        <w:ind w:left="2160" w:hanging="360"/>
      </w:pPr>
      <w:rPr/>
    </w:lvl>
    <w:lvl w:ilvl="2">
      <w:start w:val="1"/>
      <w:numFmt w:val="lowerRoman"/>
      <w:suff w:val="tab"/>
      <w:lvlText w:val="%3."/>
      <w:lvlJc w:val="right"/>
      <w:pPr>
        <w:tabs>
          <w:tab w:val="num" w:pos="2880"/>
        </w:tabs>
        <w:ind w:left="2880" w:hanging="180"/>
      </w:pPr>
      <w:rPr/>
    </w:lvl>
    <w:lvl w:ilvl="3">
      <w:start w:val="1"/>
      <w:numFmt w:val="decimal"/>
      <w:suff w:val="tab"/>
      <w:lvlText w:val="%4."/>
      <w:lvlJc w:val="left"/>
      <w:pPr>
        <w:tabs>
          <w:tab w:val="num" w:pos="3600"/>
        </w:tabs>
        <w:ind w:left="3600" w:hanging="360"/>
      </w:pPr>
      <w:rPr/>
    </w:lvl>
    <w:lvl w:ilvl="4">
      <w:start w:val="1"/>
      <w:numFmt w:val="lowerLetter"/>
      <w:suff w:val="tab"/>
      <w:lvlText w:val="%5."/>
      <w:lvlJc w:val="left"/>
      <w:pPr>
        <w:tabs>
          <w:tab w:val="num" w:pos="4320"/>
        </w:tabs>
        <w:ind w:left="4320" w:hanging="360"/>
      </w:pPr>
      <w:rPr/>
    </w:lvl>
    <w:lvl w:ilvl="5">
      <w:start w:val="1"/>
      <w:numFmt w:val="lowerRoman"/>
      <w:suff w:val="tab"/>
      <w:lvlText w:val="%6."/>
      <w:lvlJc w:val="right"/>
      <w:pPr>
        <w:tabs>
          <w:tab w:val="num" w:pos="5040"/>
        </w:tabs>
        <w:ind w:left="5040" w:hanging="180"/>
      </w:pPr>
      <w:rPr/>
    </w:lvl>
    <w:lvl w:ilvl="6">
      <w:start w:val="1"/>
      <w:numFmt w:val="decimal"/>
      <w:suff w:val="tab"/>
      <w:lvlText w:val="%7."/>
      <w:lvlJc w:val="left"/>
      <w:pPr>
        <w:tabs>
          <w:tab w:val="num" w:pos="5760"/>
        </w:tabs>
        <w:ind w:left="5760" w:hanging="360"/>
      </w:pPr>
      <w:rPr/>
    </w:lvl>
    <w:lvl w:ilvl="7">
      <w:start w:val="1"/>
      <w:numFmt w:val="lowerLetter"/>
      <w:suff w:val="tab"/>
      <w:lvlText w:val="%8."/>
      <w:lvlJc w:val="left"/>
      <w:pPr>
        <w:tabs>
          <w:tab w:val="num" w:pos="6480"/>
        </w:tabs>
        <w:ind w:left="6480" w:hanging="360"/>
      </w:pPr>
      <w:rPr/>
    </w:lvl>
    <w:lvl w:ilvl="8">
      <w:start w:val="1"/>
      <w:numFmt w:val="lowerRoman"/>
      <w:suff w:val="tab"/>
      <w:lvlText w:val="%9."/>
      <w:lvlJc w:val="right"/>
      <w:pPr>
        <w:tabs>
          <w:tab w:val="num" w:pos="7200"/>
        </w:tabs>
        <w:ind w:left="7200" w:hanging="180"/>
      </w:pPr>
      <w:rPr/>
    </w:lvl>
  </w:abstractNum>
  <w:abstractNum w:abstractNumId="12">
    <w:multiLevelType w:val="hybridMultilevel"/>
    <w:lvl w:ilvl="0">
      <w:start w:val="1"/>
      <w:numFmt w:val="decimal"/>
      <w:suff w:val="tab"/>
      <w:lvlText w:val="%1."/>
      <w:lvlJc w:val="left"/>
      <w:pPr>
        <w:tabs>
          <w:tab w:val="num" w:pos="502"/>
        </w:tabs>
        <w:ind w:left="502" w:hanging="360"/>
      </w:pPr>
      <w:rPr/>
    </w:lvl>
    <w:lvl w:ilvl="1">
      <w:start w:val="1"/>
      <w:numFmt w:val="lowerLetter"/>
      <w:suff w:val="tab"/>
      <w:lvlText w:val="%2."/>
      <w:lvlJc w:val="left"/>
      <w:pPr>
        <w:tabs>
          <w:tab w:val="num" w:pos="1440"/>
        </w:tabs>
        <w:ind w:left="1440" w:hanging="360"/>
      </w:pPr>
      <w:rPr/>
    </w:lvl>
    <w:lvl w:ilvl="2">
      <w:start w:val="1"/>
      <w:numFmt w:val="lowerRoman"/>
      <w:suff w:val="tab"/>
      <w:lvlText w:val="%3."/>
      <w:lvlJc w:val="right"/>
      <w:pPr>
        <w:tabs>
          <w:tab w:val="num" w:pos="2160"/>
        </w:tabs>
        <w:ind w:left="2160" w:hanging="180"/>
      </w:pPr>
      <w:rPr/>
    </w:lvl>
    <w:lvl w:ilvl="3">
      <w:start w:val="1"/>
      <w:numFmt w:val="decimal"/>
      <w:suff w:val="tab"/>
      <w:lvlText w:val="%4."/>
      <w:lvlJc w:val="left"/>
      <w:pPr>
        <w:tabs>
          <w:tab w:val="num" w:pos="2880"/>
        </w:tabs>
        <w:ind w:left="2880" w:hanging="360"/>
      </w:pPr>
      <w:rPr/>
    </w:lvl>
    <w:lvl w:ilvl="4">
      <w:start w:val="1"/>
      <w:numFmt w:val="lowerLetter"/>
      <w:suff w:val="tab"/>
      <w:lvlText w:val="%5."/>
      <w:lvlJc w:val="left"/>
      <w:pPr>
        <w:tabs>
          <w:tab w:val="num" w:pos="3600"/>
        </w:tabs>
        <w:ind w:left="3600" w:hanging="360"/>
      </w:pPr>
      <w:rPr/>
    </w:lvl>
    <w:lvl w:ilvl="5">
      <w:start w:val="1"/>
      <w:numFmt w:val="lowerRoman"/>
      <w:suff w:val="tab"/>
      <w:lvlText w:val="%6."/>
      <w:lvlJc w:val="right"/>
      <w:pPr>
        <w:tabs>
          <w:tab w:val="num" w:pos="4320"/>
        </w:tabs>
        <w:ind w:left="4320" w:hanging="180"/>
      </w:pPr>
      <w:rPr/>
    </w:lvl>
    <w:lvl w:ilvl="6">
      <w:start w:val="1"/>
      <w:numFmt w:val="decimal"/>
      <w:suff w:val="tab"/>
      <w:lvlText w:val="%7."/>
      <w:lvlJc w:val="left"/>
      <w:pPr>
        <w:tabs>
          <w:tab w:val="num" w:pos="5040"/>
        </w:tabs>
        <w:ind w:left="5040" w:hanging="360"/>
      </w:pPr>
      <w:rPr/>
    </w:lvl>
    <w:lvl w:ilvl="7">
      <w:start w:val="1"/>
      <w:numFmt w:val="lowerLetter"/>
      <w:suff w:val="tab"/>
      <w:lvlText w:val="%8."/>
      <w:lvlJc w:val="left"/>
      <w:pPr>
        <w:tabs>
          <w:tab w:val="num" w:pos="5760"/>
        </w:tabs>
        <w:ind w:left="5760" w:hanging="360"/>
      </w:pPr>
      <w:rPr/>
    </w:lvl>
    <w:lvl w:ilvl="8">
      <w:start w:val="1"/>
      <w:numFmt w:val="lowerRoman"/>
      <w:suff w:val="tab"/>
      <w:lvlText w:val="%9."/>
      <w:lvlJc w:val="right"/>
      <w:pPr>
        <w:tabs>
          <w:tab w:val="num" w:pos="6480"/>
        </w:tabs>
        <w:ind w:left="6480" w:hanging="180"/>
      </w:pPr>
      <w:rPr/>
    </w:lvl>
  </w:abstractNum>
  <w:abstractNum w:abstractNumId="13">
    <w:multiLevelType w:val="multilevel"/>
    <w:lvl w:ilvl="0">
      <w:start w:val="1"/>
      <w:numFmt w:val="decimal"/>
      <w:suff w:val="tab"/>
      <w:lvlText w:val="%1."/>
      <w:lvlJc w:val="left"/>
      <w:pPr>
        <w:tabs>
          <w:tab w:val="num" w:pos="113"/>
        </w:tabs>
        <w:ind w:left="0" w:firstLine="924"/>
      </w:pPr>
      <w:rPr>
        <w:rFonts w:ascii="Calibri" w:hAnsi="Calibri" w:hint="default"/>
        <w:b/>
        <w:i w:val="0"/>
        <w:sz w:val="22"/>
      </w:rPr>
    </w:lvl>
    <w:lvl w:ilvl="1">
      <w:start w:val="1"/>
      <w:numFmt w:val="lowerLetter"/>
      <w:suff w:val="tab"/>
      <w:lvlText w:val="%2."/>
      <w:lvlJc w:val="left"/>
      <w:pPr>
        <w:tabs>
          <w:tab w:val="num" w:pos="2160"/>
        </w:tabs>
        <w:ind w:left="2160" w:hanging="360"/>
      </w:pPr>
      <w:rPr/>
    </w:lvl>
    <w:lvl w:ilvl="2">
      <w:start w:val="1"/>
      <w:numFmt w:val="lowerRoman"/>
      <w:suff w:val="tab"/>
      <w:lvlText w:val="%3."/>
      <w:lvlJc w:val="right"/>
      <w:pPr>
        <w:tabs>
          <w:tab w:val="num" w:pos="2880"/>
        </w:tabs>
        <w:ind w:left="2880" w:hanging="180"/>
      </w:pPr>
      <w:rPr/>
    </w:lvl>
    <w:lvl w:ilvl="3">
      <w:start w:val="1"/>
      <w:numFmt w:val="decimal"/>
      <w:suff w:val="tab"/>
      <w:lvlText w:val="%4."/>
      <w:lvlJc w:val="left"/>
      <w:pPr>
        <w:tabs>
          <w:tab w:val="num" w:pos="3600"/>
        </w:tabs>
        <w:ind w:left="3600" w:hanging="360"/>
      </w:pPr>
      <w:rPr/>
    </w:lvl>
    <w:lvl w:ilvl="4">
      <w:start w:val="1"/>
      <w:numFmt w:val="lowerLetter"/>
      <w:suff w:val="tab"/>
      <w:lvlText w:val="%5."/>
      <w:lvlJc w:val="left"/>
      <w:pPr>
        <w:tabs>
          <w:tab w:val="num" w:pos="4320"/>
        </w:tabs>
        <w:ind w:left="4320" w:hanging="360"/>
      </w:pPr>
      <w:rPr/>
    </w:lvl>
    <w:lvl w:ilvl="5">
      <w:start w:val="1"/>
      <w:numFmt w:val="lowerRoman"/>
      <w:suff w:val="tab"/>
      <w:lvlText w:val="%6."/>
      <w:lvlJc w:val="right"/>
      <w:pPr>
        <w:tabs>
          <w:tab w:val="num" w:pos="5040"/>
        </w:tabs>
        <w:ind w:left="5040" w:hanging="180"/>
      </w:pPr>
      <w:rPr/>
    </w:lvl>
    <w:lvl w:ilvl="6">
      <w:start w:val="1"/>
      <w:numFmt w:val="decimal"/>
      <w:suff w:val="tab"/>
      <w:lvlText w:val="%7."/>
      <w:lvlJc w:val="left"/>
      <w:pPr>
        <w:tabs>
          <w:tab w:val="num" w:pos="5760"/>
        </w:tabs>
        <w:ind w:left="5760" w:hanging="360"/>
      </w:pPr>
      <w:rPr/>
    </w:lvl>
    <w:lvl w:ilvl="7">
      <w:start w:val="1"/>
      <w:numFmt w:val="lowerLetter"/>
      <w:suff w:val="tab"/>
      <w:lvlText w:val="%8."/>
      <w:lvlJc w:val="left"/>
      <w:pPr>
        <w:tabs>
          <w:tab w:val="num" w:pos="6480"/>
        </w:tabs>
        <w:ind w:left="6480" w:hanging="360"/>
      </w:pPr>
      <w:rPr/>
    </w:lvl>
    <w:lvl w:ilvl="8">
      <w:start w:val="1"/>
      <w:numFmt w:val="lowerRoman"/>
      <w:suff w:val="tab"/>
      <w:lvlText w:val="%9."/>
      <w:lvlJc w:val="right"/>
      <w:pPr>
        <w:tabs>
          <w:tab w:val="num" w:pos="7200"/>
        </w:tabs>
        <w:ind w:left="7200" w:hanging="180"/>
      </w:pPr>
      <w:rPr/>
    </w:lvl>
  </w:abstractNum>
  <w:abstractNum w:abstractNumId="14">
    <w:multiLevelType w:val="multilevel"/>
    <w:lvl w:ilvl="0">
      <w:start w:val="1"/>
      <w:numFmt w:val="decimal"/>
      <w:suff w:val="tab"/>
      <w:lvlText w:val="%1."/>
      <w:lvlJc w:val="left"/>
      <w:pPr>
        <w:tabs>
          <w:tab w:val="num" w:pos="1440"/>
        </w:tabs>
        <w:ind w:left="1440" w:hanging="360"/>
      </w:pPr>
      <w:rPr/>
    </w:lvl>
    <w:lvl w:ilvl="1">
      <w:start w:val="1"/>
      <w:numFmt w:val="lowerLetter"/>
      <w:suff w:val="tab"/>
      <w:lvlText w:val="%2."/>
      <w:lvlJc w:val="left"/>
      <w:pPr>
        <w:tabs>
          <w:tab w:val="num" w:pos="2160"/>
        </w:tabs>
        <w:ind w:left="2160" w:hanging="360"/>
      </w:pPr>
      <w:rPr/>
    </w:lvl>
    <w:lvl w:ilvl="2">
      <w:start w:val="1"/>
      <w:numFmt w:val="lowerRoman"/>
      <w:suff w:val="tab"/>
      <w:lvlText w:val="%3."/>
      <w:lvlJc w:val="right"/>
      <w:pPr>
        <w:tabs>
          <w:tab w:val="num" w:pos="2880"/>
        </w:tabs>
        <w:ind w:left="2880" w:hanging="180"/>
      </w:pPr>
      <w:rPr/>
    </w:lvl>
    <w:lvl w:ilvl="3">
      <w:start w:val="1"/>
      <w:numFmt w:val="decimal"/>
      <w:suff w:val="tab"/>
      <w:lvlText w:val="%4."/>
      <w:lvlJc w:val="left"/>
      <w:pPr>
        <w:tabs>
          <w:tab w:val="num" w:pos="3600"/>
        </w:tabs>
        <w:ind w:left="3600" w:hanging="360"/>
      </w:pPr>
      <w:rPr/>
    </w:lvl>
    <w:lvl w:ilvl="4">
      <w:start w:val="1"/>
      <w:numFmt w:val="lowerLetter"/>
      <w:suff w:val="tab"/>
      <w:lvlText w:val="%5."/>
      <w:lvlJc w:val="left"/>
      <w:pPr>
        <w:tabs>
          <w:tab w:val="num" w:pos="4320"/>
        </w:tabs>
        <w:ind w:left="4320" w:hanging="360"/>
      </w:pPr>
      <w:rPr/>
    </w:lvl>
    <w:lvl w:ilvl="5">
      <w:start w:val="1"/>
      <w:numFmt w:val="lowerRoman"/>
      <w:suff w:val="tab"/>
      <w:lvlText w:val="%6."/>
      <w:lvlJc w:val="right"/>
      <w:pPr>
        <w:tabs>
          <w:tab w:val="num" w:pos="5040"/>
        </w:tabs>
        <w:ind w:left="5040" w:hanging="180"/>
      </w:pPr>
      <w:rPr/>
    </w:lvl>
    <w:lvl w:ilvl="6">
      <w:start w:val="1"/>
      <w:numFmt w:val="decimal"/>
      <w:suff w:val="tab"/>
      <w:lvlText w:val="%7."/>
      <w:lvlJc w:val="left"/>
      <w:pPr>
        <w:tabs>
          <w:tab w:val="num" w:pos="5760"/>
        </w:tabs>
        <w:ind w:left="5760" w:hanging="360"/>
      </w:pPr>
      <w:rPr/>
    </w:lvl>
    <w:lvl w:ilvl="7">
      <w:start w:val="1"/>
      <w:numFmt w:val="lowerLetter"/>
      <w:suff w:val="tab"/>
      <w:lvlText w:val="%8."/>
      <w:lvlJc w:val="left"/>
      <w:pPr>
        <w:tabs>
          <w:tab w:val="num" w:pos="6480"/>
        </w:tabs>
        <w:ind w:left="6480" w:hanging="360"/>
      </w:pPr>
      <w:rPr/>
    </w:lvl>
    <w:lvl w:ilvl="8">
      <w:start w:val="1"/>
      <w:numFmt w:val="lowerRoman"/>
      <w:suff w:val="tab"/>
      <w:lvlText w:val="%9."/>
      <w:lvlJc w:val="right"/>
      <w:pPr>
        <w:tabs>
          <w:tab w:val="num" w:pos="7200"/>
        </w:tabs>
        <w:ind w:left="7200" w:hanging="180"/>
      </w:pPr>
      <w:rPr/>
    </w:lvl>
  </w:abstractNum>
  <w:abstractNum w:abstractNumId="15">
    <w:multiLevelType w:val="multilevel"/>
    <w:lvl w:ilvl="0">
      <w:start w:val="1"/>
      <w:numFmt w:val="decimal"/>
      <w:suff w:val="tab"/>
      <w:lvlText w:val="%1."/>
      <w:lvlJc w:val="left"/>
      <w:pPr>
        <w:tabs>
          <w:tab w:val="num" w:pos="0"/>
        </w:tabs>
        <w:ind w:left="0" w:firstLine="720"/>
      </w:pPr>
      <w:rPr>
        <w:rFonts w:ascii="Calibri" w:hAnsi="Calibri" w:hint="default"/>
        <w:b/>
        <w:i w:val="0"/>
        <w:sz w:val="22"/>
      </w:rPr>
    </w:lvl>
    <w:lvl w:ilvl="1">
      <w:start w:val="1"/>
      <w:numFmt w:val="lowerLetter"/>
      <w:suff w:val="tab"/>
      <w:lvlText w:val="%2."/>
      <w:lvlJc w:val="left"/>
      <w:pPr>
        <w:tabs>
          <w:tab w:val="num" w:pos="2160"/>
        </w:tabs>
        <w:ind w:left="2160" w:hanging="360"/>
      </w:pPr>
      <w:rPr/>
    </w:lvl>
    <w:lvl w:ilvl="2">
      <w:start w:val="1"/>
      <w:numFmt w:val="lowerRoman"/>
      <w:suff w:val="tab"/>
      <w:lvlText w:val="%3."/>
      <w:lvlJc w:val="right"/>
      <w:pPr>
        <w:tabs>
          <w:tab w:val="num" w:pos="2880"/>
        </w:tabs>
        <w:ind w:left="2880" w:hanging="180"/>
      </w:pPr>
      <w:rPr/>
    </w:lvl>
    <w:lvl w:ilvl="3">
      <w:start w:val="1"/>
      <w:numFmt w:val="decimal"/>
      <w:suff w:val="tab"/>
      <w:lvlText w:val="%4."/>
      <w:lvlJc w:val="left"/>
      <w:pPr>
        <w:tabs>
          <w:tab w:val="num" w:pos="3600"/>
        </w:tabs>
        <w:ind w:left="3600" w:hanging="360"/>
      </w:pPr>
      <w:rPr/>
    </w:lvl>
    <w:lvl w:ilvl="4">
      <w:start w:val="1"/>
      <w:numFmt w:val="lowerLetter"/>
      <w:suff w:val="tab"/>
      <w:lvlText w:val="%5."/>
      <w:lvlJc w:val="left"/>
      <w:pPr>
        <w:tabs>
          <w:tab w:val="num" w:pos="4320"/>
        </w:tabs>
        <w:ind w:left="4320" w:hanging="360"/>
      </w:pPr>
      <w:rPr/>
    </w:lvl>
    <w:lvl w:ilvl="5">
      <w:start w:val="1"/>
      <w:numFmt w:val="lowerRoman"/>
      <w:suff w:val="tab"/>
      <w:lvlText w:val="%6."/>
      <w:lvlJc w:val="right"/>
      <w:pPr>
        <w:tabs>
          <w:tab w:val="num" w:pos="5040"/>
        </w:tabs>
        <w:ind w:left="5040" w:hanging="180"/>
      </w:pPr>
      <w:rPr/>
    </w:lvl>
    <w:lvl w:ilvl="6">
      <w:start w:val="1"/>
      <w:numFmt w:val="decimal"/>
      <w:suff w:val="tab"/>
      <w:lvlText w:val="%7."/>
      <w:lvlJc w:val="left"/>
      <w:pPr>
        <w:tabs>
          <w:tab w:val="num" w:pos="5760"/>
        </w:tabs>
        <w:ind w:left="5760" w:hanging="360"/>
      </w:pPr>
      <w:rPr/>
    </w:lvl>
    <w:lvl w:ilvl="7">
      <w:start w:val="1"/>
      <w:numFmt w:val="lowerLetter"/>
      <w:suff w:val="tab"/>
      <w:lvlText w:val="%8."/>
      <w:lvlJc w:val="left"/>
      <w:pPr>
        <w:tabs>
          <w:tab w:val="num" w:pos="6480"/>
        </w:tabs>
        <w:ind w:left="6480" w:hanging="360"/>
      </w:pPr>
      <w:rPr/>
    </w:lvl>
    <w:lvl w:ilvl="8">
      <w:start w:val="1"/>
      <w:numFmt w:val="lowerRoman"/>
      <w:suff w:val="tab"/>
      <w:lvlText w:val="%9."/>
      <w:lvlJc w:val="right"/>
      <w:pPr>
        <w:tabs>
          <w:tab w:val="num" w:pos="7200"/>
        </w:tabs>
        <w:ind w:left="7200" w:hanging="180"/>
      </w:pPr>
      <w:rPr/>
    </w:lvl>
  </w:abstractNum>
  <w:abstractNum w:abstractNumId="16">
    <w:multiLevelType w:val="multilevel"/>
    <w:lvl w:ilvl="0">
      <w:start w:val="1"/>
      <w:numFmt w:val="decimal"/>
      <w:suff w:val="tab"/>
      <w:lvlText w:val="%1."/>
      <w:lvlJc w:val="left"/>
      <w:pPr>
        <w:tabs>
          <w:tab w:val="num" w:pos="0"/>
        </w:tabs>
        <w:ind w:left="0" w:firstLine="924"/>
      </w:pPr>
      <w:rPr>
        <w:rFonts w:ascii="Calibri" w:hAnsi="Calibri" w:hint="default"/>
        <w:b/>
        <w:i w:val="0"/>
        <w:sz w:val="22"/>
      </w:rPr>
    </w:lvl>
    <w:lvl w:ilvl="1">
      <w:start w:val="1"/>
      <w:numFmt w:val="lowerLetter"/>
      <w:suff w:val="tab"/>
      <w:lvlText w:val="%2."/>
      <w:lvlJc w:val="left"/>
      <w:pPr>
        <w:tabs>
          <w:tab w:val="num" w:pos="2160"/>
        </w:tabs>
        <w:ind w:left="2160" w:hanging="360"/>
      </w:pPr>
      <w:rPr/>
    </w:lvl>
    <w:lvl w:ilvl="2">
      <w:start w:val="1"/>
      <w:numFmt w:val="lowerRoman"/>
      <w:suff w:val="tab"/>
      <w:lvlText w:val="%3."/>
      <w:lvlJc w:val="right"/>
      <w:pPr>
        <w:tabs>
          <w:tab w:val="num" w:pos="2880"/>
        </w:tabs>
        <w:ind w:left="2880" w:hanging="180"/>
      </w:pPr>
      <w:rPr/>
    </w:lvl>
    <w:lvl w:ilvl="3">
      <w:start w:val="1"/>
      <w:numFmt w:val="decimal"/>
      <w:suff w:val="tab"/>
      <w:lvlText w:val="%4."/>
      <w:lvlJc w:val="left"/>
      <w:pPr>
        <w:tabs>
          <w:tab w:val="num" w:pos="3600"/>
        </w:tabs>
        <w:ind w:left="3600" w:hanging="360"/>
      </w:pPr>
      <w:rPr/>
    </w:lvl>
    <w:lvl w:ilvl="4">
      <w:start w:val="1"/>
      <w:numFmt w:val="lowerLetter"/>
      <w:suff w:val="tab"/>
      <w:lvlText w:val="%5."/>
      <w:lvlJc w:val="left"/>
      <w:pPr>
        <w:tabs>
          <w:tab w:val="num" w:pos="4320"/>
        </w:tabs>
        <w:ind w:left="4320" w:hanging="360"/>
      </w:pPr>
      <w:rPr/>
    </w:lvl>
    <w:lvl w:ilvl="5">
      <w:start w:val="1"/>
      <w:numFmt w:val="lowerRoman"/>
      <w:suff w:val="tab"/>
      <w:lvlText w:val="%6."/>
      <w:lvlJc w:val="right"/>
      <w:pPr>
        <w:tabs>
          <w:tab w:val="num" w:pos="5040"/>
        </w:tabs>
        <w:ind w:left="5040" w:hanging="180"/>
      </w:pPr>
      <w:rPr/>
    </w:lvl>
    <w:lvl w:ilvl="6">
      <w:start w:val="1"/>
      <w:numFmt w:val="decimal"/>
      <w:suff w:val="tab"/>
      <w:lvlText w:val="%7."/>
      <w:lvlJc w:val="left"/>
      <w:pPr>
        <w:tabs>
          <w:tab w:val="num" w:pos="5760"/>
        </w:tabs>
        <w:ind w:left="5760" w:hanging="360"/>
      </w:pPr>
      <w:rPr/>
    </w:lvl>
    <w:lvl w:ilvl="7">
      <w:start w:val="1"/>
      <w:numFmt w:val="lowerLetter"/>
      <w:suff w:val="tab"/>
      <w:lvlText w:val="%8."/>
      <w:lvlJc w:val="left"/>
      <w:pPr>
        <w:tabs>
          <w:tab w:val="num" w:pos="6480"/>
        </w:tabs>
        <w:ind w:left="6480" w:hanging="360"/>
      </w:pPr>
      <w:rPr/>
    </w:lvl>
    <w:lvl w:ilvl="8">
      <w:start w:val="1"/>
      <w:numFmt w:val="lowerRoman"/>
      <w:suff w:val="tab"/>
      <w:lvlText w:val="%9."/>
      <w:lvlJc w:val="right"/>
      <w:pPr>
        <w:tabs>
          <w:tab w:val="num" w:pos="7200"/>
        </w:tabs>
        <w:ind w:left="7200" w:hanging="180"/>
      </w:pPr>
      <w:rPr/>
    </w:lvl>
  </w:abstractNum>
  <w:abstractNum w:abstractNumId="17">
    <w:multiLevelType w:val="multilevel"/>
    <w:lvl w:ilvl="0">
      <w:start w:val="1"/>
      <w:numFmt w:val="decimal"/>
      <w:suff w:val="tab"/>
      <w:lvlText w:val="%1."/>
      <w:lvlJc w:val="left"/>
      <w:pPr>
        <w:tabs>
          <w:tab w:val="num" w:pos="0"/>
        </w:tabs>
        <w:ind w:left="0" w:firstLine="720"/>
      </w:pPr>
      <w:rPr>
        <w:rFonts w:ascii="Calibri" w:hAnsi="Calibri" w:hint="default"/>
        <w:b/>
        <w:i w:val="0"/>
        <w:sz w:val="22"/>
      </w:rPr>
    </w:lvl>
    <w:lvl w:ilvl="1">
      <w:start w:val="1"/>
      <w:numFmt w:val="lowerLetter"/>
      <w:suff w:val="tab"/>
      <w:lvlText w:val="%2."/>
      <w:lvlJc w:val="left"/>
      <w:pPr>
        <w:tabs>
          <w:tab w:val="num" w:pos="2160"/>
        </w:tabs>
        <w:ind w:left="2160" w:hanging="360"/>
      </w:pPr>
      <w:rPr/>
    </w:lvl>
    <w:lvl w:ilvl="2">
      <w:start w:val="1"/>
      <w:numFmt w:val="lowerRoman"/>
      <w:suff w:val="tab"/>
      <w:lvlText w:val="%3."/>
      <w:lvlJc w:val="right"/>
      <w:pPr>
        <w:tabs>
          <w:tab w:val="num" w:pos="2880"/>
        </w:tabs>
        <w:ind w:left="2880" w:hanging="180"/>
      </w:pPr>
      <w:rPr/>
    </w:lvl>
    <w:lvl w:ilvl="3">
      <w:start w:val="1"/>
      <w:numFmt w:val="decimal"/>
      <w:suff w:val="tab"/>
      <w:lvlText w:val="%4."/>
      <w:lvlJc w:val="left"/>
      <w:pPr>
        <w:tabs>
          <w:tab w:val="num" w:pos="3600"/>
        </w:tabs>
        <w:ind w:left="3600" w:hanging="360"/>
      </w:pPr>
      <w:rPr/>
    </w:lvl>
    <w:lvl w:ilvl="4">
      <w:start w:val="1"/>
      <w:numFmt w:val="lowerLetter"/>
      <w:suff w:val="tab"/>
      <w:lvlText w:val="%5."/>
      <w:lvlJc w:val="left"/>
      <w:pPr>
        <w:tabs>
          <w:tab w:val="num" w:pos="4320"/>
        </w:tabs>
        <w:ind w:left="4320" w:hanging="360"/>
      </w:pPr>
      <w:rPr/>
    </w:lvl>
    <w:lvl w:ilvl="5">
      <w:start w:val="1"/>
      <w:numFmt w:val="lowerRoman"/>
      <w:suff w:val="tab"/>
      <w:lvlText w:val="%6."/>
      <w:lvlJc w:val="right"/>
      <w:pPr>
        <w:tabs>
          <w:tab w:val="num" w:pos="5040"/>
        </w:tabs>
        <w:ind w:left="5040" w:hanging="180"/>
      </w:pPr>
      <w:rPr/>
    </w:lvl>
    <w:lvl w:ilvl="6">
      <w:start w:val="1"/>
      <w:numFmt w:val="decimal"/>
      <w:suff w:val="tab"/>
      <w:lvlText w:val="%7."/>
      <w:lvlJc w:val="left"/>
      <w:pPr>
        <w:tabs>
          <w:tab w:val="num" w:pos="5760"/>
        </w:tabs>
        <w:ind w:left="5760" w:hanging="360"/>
      </w:pPr>
      <w:rPr/>
    </w:lvl>
    <w:lvl w:ilvl="7">
      <w:start w:val="1"/>
      <w:numFmt w:val="lowerLetter"/>
      <w:suff w:val="tab"/>
      <w:lvlText w:val="%8."/>
      <w:lvlJc w:val="left"/>
      <w:pPr>
        <w:tabs>
          <w:tab w:val="num" w:pos="6480"/>
        </w:tabs>
        <w:ind w:left="6480" w:hanging="360"/>
      </w:pPr>
      <w:rPr/>
    </w:lvl>
    <w:lvl w:ilvl="8">
      <w:start w:val="1"/>
      <w:numFmt w:val="lowerRoman"/>
      <w:suff w:val="tab"/>
      <w:lvlText w:val="%9."/>
      <w:lvlJc w:val="right"/>
      <w:pPr>
        <w:tabs>
          <w:tab w:val="num" w:pos="7200"/>
        </w:tabs>
        <w:ind w:left="720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bordersDoNotSurroundHeader/>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l-GR"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0BF8"/>
    <w:rPr>
      <w:rFonts w:ascii="Calibri" w:hAnsi="Calibri"/>
      <w:szCs w:val="24"/>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styleId="Header">
    <w:name w:val="Header"/>
    <w:basedOn w:val="Normal"/>
    <w:rsid w:val="00EC14F0"/>
    <w:pPr>
      <w:tabs>
        <w:tab w:val="center" w:pos="4153"/>
        <w:tab w:val="right" w:pos="8306"/>
      </w:tabs>
    </w:pPr>
    <w:rPr/>
  </w:style>
  <w:style w:type="paragraph" w:styleId="Footer">
    <w:name w:val="Footer"/>
    <w:basedOn w:val="Normal"/>
    <w:uiPriority w:val="99"/>
    <w:qFormat/>
    <w:rsid w:val="00EC14F0"/>
    <w:pPr>
      <w:tabs>
        <w:tab w:val="center" w:pos="4153"/>
        <w:tab w:val="right" w:pos="8306"/>
      </w:tabs>
    </w:pPr>
    <w:rPr/>
  </w:style>
  <w:style w:type="paragraph" w:styleId="BalloonText">
    <w:name w:val="Balloon Text"/>
    <w:basedOn w:val="Normal"/>
    <w:semiHidden/>
    <w:rsid w:val="00EC14F0"/>
    <w:rPr>
      <w:rFonts w:ascii="Tahoma" w:hAnsi="Tahoma" w:cs="Tahoma"/>
      <w:sz w:val="16"/>
      <w:szCs w:val="16"/>
    </w:rPr>
  </w:style>
  <w:style w:type="table" w:styleId="TableGrid">
    <w:name w:val="Table Grid"/>
    <w:basedOn w:val="TableNormal"/>
    <w:rsid w:val="00EE79D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ΥποσέλιδοChar">
    <w:name w:val="Υποσέλιδο Char"/>
    <w:uiPriority w:val="99"/>
    <w:rsid w:val="001A102B"/>
    <w:rPr>
      <w:rFonts w:ascii="Calibri" w:hAnsi="Calibri"/>
      <w:szCs w:val="24"/>
    </w:rPr>
  </w:style>
  <w:style w:type="paragraph" w:customStyle="1" w:styleId="CharCharCharCharCharCharCharCharCharCharCharCharCharChar">
    <w:name w:val="Char Char Char Char Char Char Char Char Char Char Char Char Char Char"/>
    <w:basedOn w:val="Normal"/>
    <w:rsid w:val="00213380"/>
    <w:pPr>
      <w:spacing w:after="160" w:line="240" w:lineRule="exact"/>
    </w:pPr>
    <w:rPr>
      <w:rFonts w:ascii="Arial" w:eastAsia="Calibri" w:hAnsi="Arial" w:cs="Arial"/>
      <w:szCs w:val="20"/>
      <w:lang w:val="en-US" w:eastAsia="en-US"/>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1073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image" Target="media/image1.png" /><Relationship Id="rId8" Type="http://schemas.openxmlformats.org/officeDocument/2006/relationships/footer" Target="footer1.xml" /><Relationship Id="rId9" Type="http://schemas.openxmlformats.org/officeDocument/2006/relationships/footer" Target="footer2.xml" /></Relationships>
</file>

<file path=word/_rels/settings.xml.rels>&#65279;<?xml version="1.0" encoding="utf-8"?><Relationships xmlns="http://schemas.openxmlformats.org/package/2006/relationships"><Relationship Id="rId1" Type="http://schemas.openxmlformats.org/officeDocument/2006/relationships/attachedTemplate" Target="file://Z:\es\gee\GEE-TEMPLATES\&#928;&#929;&#927;&#932;&#933;&#928;&#927;%2005%20-%20&#915;&#957;&#974;&#956;&#951;&#962;.dotx" TargetMode="Externa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Psyxouli Spyridoula</dc:creator>
  <cp:lastModifiedBy>Psyxouli Spyridoula</cp:lastModifiedBy>
  <cp:revision>14</cp:revision>
  <cp:lastPrinted>2022-12-19T11:56:00Z</cp:lastPrinted>
  <dcterms:created xsi:type="dcterms:W3CDTF">2023-01-17T05:39:00Z</dcterms:created>
  <dcterms:modified xsi:type="dcterms:W3CDTF">2023-01-18T11:47:00Z</dcterms:modified>
</cp:coreProperties>
</file>

<file path=customXml/item2.xml><?xml version="1.0" encoding="utf-8"?>
<Properties xmlns:vt="http://schemas.openxmlformats.org/officeDocument/2006/docPropsVTypes" xmlns="http://schemas.openxmlformats.org/officeDocument/2006/extended-properties">
  <Template>ΠΡΟΤΥΠΟ 05 - Γνώμης</Template>
  <TotalTime>14</TotalTime>
  <Pages>7</Pages>
  <Words>2742</Words>
  <Characters>14811</Characters>
  <Application>Microsoft Office Word</Application>
  <DocSecurity>0</DocSecurity>
  <Lines>123</Lines>
  <Paragraphs>35</Paragraphs>
  <CharactersWithSpaces>17518</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creator>Psyxouli Spyridoula</dc:creator>
  <cp:lastModifiedBy>Psyxouli Spyridoula</cp:lastModifiedBy>
  <cp:revision>14</cp:revision>
  <cp:lastPrinted>2022-12-19T11:56:00Z</cp:lastPrinted>
  <dcterms:created xsi:type="dcterms:W3CDTF">2023-01-17T05:39:00Z</dcterms:created>
  <dcterms:modified xsi:type="dcterms:W3CDTF">2023-01-18T11:47:00Z</dcterms:modified>
</cp:coreProperties>
</file>

<file path=customXml/item4.xml><?xml version="1.0" encoding="utf-8"?>
<Properties xmlns:vt="http://schemas.openxmlformats.org/officeDocument/2006/docPropsVTypes" xmlns="http://schemas.openxmlformats.org/officeDocument/2006/extended-properties">
  <Template>ΠΡΟΤΥΠΟ 05 - Γνώμης</Template>
  <TotalTime>14</TotalTime>
  <Pages>7</Pages>
  <Words>2742</Words>
  <Characters>14811</Characters>
  <Application>Microsoft Office Word</Application>
  <DocSecurity>0</DocSecurity>
  <Lines>123</Lines>
  <Paragraphs>35</Paragraphs>
  <CharactersWithSpaces>17518</CharactersWithSpaces>
  <AppVersion>15.0000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Psyxouli Spyridoula</dc:creator>
  <cp:keywords/>
  <dc:description/>
  <cp:lastModifiedBy>Psyxouli Spyridoula</cp:lastModifiedBy>
  <cp:revision>14</cp:revision>
  <cp:lastPrinted>2022-12-19T11:56:00Z</cp:lastPrinted>
  <dcterms:created xsi:type="dcterms:W3CDTF">2023-01-17T05:39:00Z</dcterms:created>
  <dcterms:modified xsi:type="dcterms:W3CDTF">2023-01-18T11:47:00Z</dcterms:modified>
</cp:coreProperties>
</file>

<file path=customXml/item6.xml><?xml version="1.0" encoding="utf-8"?>
<Properties xmlns="http://schemas.openxmlformats.org/officeDocument/2006/extended-properties" xmlns:vt="http://schemas.openxmlformats.org/officeDocument/2006/docPropsVTypes">
  <Template>ΠΡΟΤΥΠΟ 05 - Γνώμης</Template>
  <TotalTime>14</TotalTime>
  <Pages>7</Pages>
  <Words>2742</Words>
  <Characters>14811</Characters>
  <Application>Microsoft Office Word</Application>
  <DocSecurity>0</DocSecurity>
  <Lines>123</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17518</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ΠΡΟΤΥΠΟ 05 - Γνώμης</Template>
  <TotalTime>14</TotalTime>
  <Pages>7</Pages>
  <Words>2742</Words>
  <Characters>14811</Characters>
  <Application>Microsoft Office Word</Application>
  <DocSecurity>0</DocSecurity>
  <Lines>123</Lines>
  <Paragraphs>35</Paragraphs>
  <CharactersWithSpaces>17518</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Psyxouli Spyridoula</dc:creator>
  <cp:lastModifiedBy>Psyxouli Spyridoula</cp:lastModifiedBy>
  <cp:revision>14</cp:revision>
  <cp:lastPrinted>2022-12-19T11:56:00Z</cp:lastPrinted>
  <dcterms:created xsi:type="dcterms:W3CDTF">2023-01-17T05:39:00Z</dcterms:created>
  <dcterms:modified xsi:type="dcterms:W3CDTF">2023-01-18T11:47:00Z</dcterms:modified>
</cp:coreProperties>
</file>